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5685" w14:textId="77777777" w:rsidR="00FE1B9A" w:rsidRPr="00FE1B9A" w:rsidRDefault="00FE1B9A" w:rsidP="00FE1B9A">
      <w:pPr>
        <w:pStyle w:val="Heading1"/>
        <w:rPr>
          <w:lang w:val="fr-CA"/>
        </w:rPr>
      </w:pPr>
      <w:r w:rsidRPr="00FE1B9A">
        <w:rPr>
          <w:lang w:val="fr-CA"/>
        </w:rPr>
        <w:t>Premier cycle – Université de Hearst</w:t>
      </w:r>
    </w:p>
    <w:p w14:paraId="6BB3561E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t>À propos</w:t>
      </w:r>
    </w:p>
    <w:p w14:paraId="59FBB502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Blottie dans 3 communautés du nord de l’Ontario en plein cœur de la forêt Boréal, l’Université de Hearst (</w:t>
      </w:r>
      <w:proofErr w:type="spellStart"/>
      <w:r w:rsidRPr="00FE1B9A">
        <w:rPr>
          <w:lang w:val="fr-CA"/>
        </w:rPr>
        <w:t>UdeH</w:t>
      </w:r>
      <w:proofErr w:type="spellEnd"/>
      <w:r w:rsidRPr="00FE1B9A">
        <w:rPr>
          <w:lang w:val="fr-CA"/>
        </w:rPr>
        <w:t>) est un établissement postsecondaire francophone de premier et de deuxième cycle.</w:t>
      </w:r>
    </w:p>
    <w:p w14:paraId="285BEE29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Notre facture pédagogique est dynamique et innovante et mise sur une approche personnalisée, avec des cours contingentés à 25 personnes. Ce qui la démarque davantage est notre formule de cours en bloc qui propose un cours à la fois en 12 rencontres échelonnées sur une période de 3 semaines consécutives.</w:t>
      </w:r>
    </w:p>
    <w:p w14:paraId="69CC6BF7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À l’</w:t>
      </w:r>
      <w:proofErr w:type="spellStart"/>
      <w:r w:rsidRPr="00FE1B9A">
        <w:rPr>
          <w:lang w:val="fr-CA"/>
        </w:rPr>
        <w:t>UdeH</w:t>
      </w:r>
      <w:proofErr w:type="spellEnd"/>
      <w:r w:rsidRPr="00FE1B9A">
        <w:rPr>
          <w:lang w:val="fr-CA"/>
        </w:rPr>
        <w:t>, fini les fins de sessions stressantes!       </w:t>
      </w:r>
    </w:p>
    <w:p w14:paraId="6256D119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pict w14:anchorId="4BB69947">
          <v:rect id="_x0000_i1079" style="width:658.5pt;height:0" o:hrpct="0" o:hralign="center" o:hrstd="t" o:hr="t" fillcolor="#a0a0a0" stroked="f"/>
        </w:pict>
      </w:r>
    </w:p>
    <w:p w14:paraId="2771BB8D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t>Programmes</w:t>
      </w:r>
    </w:p>
    <w:p w14:paraId="5134D202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Nos programmes reposent sur un ensemble de cours obligatoires pour garantir l’acquisition d’une culture générale valorisée dans le monde du travail d’aujourd’hui.           </w:t>
      </w:r>
    </w:p>
    <w:p w14:paraId="726982FF" w14:textId="77777777" w:rsidR="00FE1B9A" w:rsidRPr="00FE1B9A" w:rsidRDefault="00FE1B9A" w:rsidP="00FE1B9A">
      <w:pPr>
        <w:numPr>
          <w:ilvl w:val="0"/>
          <w:numId w:val="2"/>
        </w:numPr>
        <w:rPr>
          <w:lang w:val="fr-CA"/>
        </w:rPr>
      </w:pPr>
      <w:hyperlink r:id="rId5" w:tgtFrame="_blank" w:history="1">
        <w:r w:rsidRPr="00FE1B9A">
          <w:rPr>
            <w:rStyle w:val="Hyperlink"/>
            <w:b/>
            <w:bCs/>
            <w:lang w:val="fr-CA"/>
          </w:rPr>
          <w:t>Administration des affaires ou en gestion</w:t>
        </w:r>
      </w:hyperlink>
    </w:p>
    <w:p w14:paraId="54D35C88" w14:textId="77777777" w:rsidR="00FE1B9A" w:rsidRPr="00FE1B9A" w:rsidRDefault="00FE1B9A" w:rsidP="00FE1B9A">
      <w:pPr>
        <w:numPr>
          <w:ilvl w:val="0"/>
          <w:numId w:val="2"/>
        </w:numPr>
        <w:rPr>
          <w:lang w:val="fr-CA"/>
        </w:rPr>
      </w:pPr>
      <w:hyperlink r:id="rId6" w:tgtFrame="_blank" w:history="1">
        <w:r w:rsidRPr="00FE1B9A">
          <w:rPr>
            <w:rStyle w:val="Hyperlink"/>
            <w:b/>
            <w:bCs/>
            <w:lang w:val="fr-CA"/>
          </w:rPr>
          <w:t>Études des enjeux humains et sociaux</w:t>
        </w:r>
      </w:hyperlink>
    </w:p>
    <w:p w14:paraId="4B91BCD3" w14:textId="77777777" w:rsidR="00FE1B9A" w:rsidRPr="00FE1B9A" w:rsidRDefault="00FE1B9A" w:rsidP="00FE1B9A">
      <w:pPr>
        <w:numPr>
          <w:ilvl w:val="0"/>
          <w:numId w:val="2"/>
        </w:numPr>
        <w:rPr>
          <w:lang w:val="fr-CA"/>
        </w:rPr>
      </w:pPr>
      <w:hyperlink r:id="rId7" w:tgtFrame="_blank" w:history="1">
        <w:r w:rsidRPr="00FE1B9A">
          <w:rPr>
            <w:rStyle w:val="Hyperlink"/>
            <w:b/>
            <w:bCs/>
            <w:lang w:val="fr-CA"/>
          </w:rPr>
          <w:t>Psychologie</w:t>
        </w:r>
      </w:hyperlink>
    </w:p>
    <w:p w14:paraId="3105C850" w14:textId="77777777" w:rsidR="00FE1B9A" w:rsidRPr="00FE1B9A" w:rsidRDefault="00FE1B9A" w:rsidP="00FE1B9A">
      <w:pPr>
        <w:numPr>
          <w:ilvl w:val="0"/>
          <w:numId w:val="2"/>
        </w:numPr>
        <w:rPr>
          <w:lang w:val="fr-CA"/>
        </w:rPr>
      </w:pPr>
      <w:hyperlink r:id="rId8" w:tgtFrame="_blank" w:history="1">
        <w:r w:rsidRPr="00FE1B9A">
          <w:rPr>
            <w:rStyle w:val="Hyperlink"/>
            <w:b/>
            <w:bCs/>
            <w:lang w:val="fr-CA"/>
          </w:rPr>
          <w:t>Diplôme d’études supérieures en psychothérapie</w:t>
        </w:r>
      </w:hyperlink>
    </w:p>
    <w:p w14:paraId="45E280DA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pict w14:anchorId="37232537">
          <v:rect id="_x0000_i1080" style="width:658.5pt;height:0" o:hrpct="0" o:hralign="center" o:hrstd="t" o:hr="t" fillcolor="#a0a0a0" stroked="f"/>
        </w:pict>
      </w:r>
    </w:p>
    <w:p w14:paraId="50DA7C67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t>Dates clés</w:t>
      </w:r>
    </w:p>
    <w:p w14:paraId="68E35362" w14:textId="77777777" w:rsidR="00FE1B9A" w:rsidRPr="00FE1B9A" w:rsidRDefault="00FE1B9A" w:rsidP="00FE1B9A">
      <w:pPr>
        <w:rPr>
          <w:lang w:val="fr-CA"/>
        </w:rPr>
      </w:pPr>
      <w:hyperlink r:id="rId9" w:history="1">
        <w:r w:rsidRPr="00FE1B9A">
          <w:rPr>
            <w:rStyle w:val="Hyperlink"/>
            <w:lang w:val="fr-CA"/>
          </w:rPr>
          <w:t>Dates clés</w:t>
        </w:r>
      </w:hyperlink>
    </w:p>
    <w:p w14:paraId="7402B9E1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pict w14:anchorId="5A578273">
          <v:rect id="_x0000_i1081" style="width:658.5pt;height:0" o:hrpct="0" o:hralign="center" o:hrstd="t" o:hr="t" fillcolor="#a0a0a0" stroked="f"/>
        </w:pict>
      </w:r>
    </w:p>
    <w:p w14:paraId="082BA0D3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t>Exigences d’admission</w:t>
      </w:r>
    </w:p>
    <w:p w14:paraId="0CC56F5C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L’information relative aux programmes universitaires change régulièrement. Visitez la section </w:t>
      </w:r>
      <w:hyperlink r:id="rId10" w:tgtFrame="_blank" w:history="1">
        <w:r w:rsidRPr="00FE1B9A">
          <w:rPr>
            <w:rStyle w:val="Hyperlink"/>
            <w:b/>
            <w:bCs/>
            <w:lang w:val="fr-CA"/>
          </w:rPr>
          <w:t>Admission</w:t>
        </w:r>
      </w:hyperlink>
      <w:r w:rsidRPr="00FE1B9A">
        <w:rPr>
          <w:lang w:val="fr-CA"/>
        </w:rPr>
        <w:t> pour obtenir les renseignements les plus récents.</w:t>
      </w:r>
    </w:p>
    <w:p w14:paraId="0D4DD273" w14:textId="77777777" w:rsidR="00FE1B9A" w:rsidRPr="00FE1B9A" w:rsidRDefault="00FE1B9A" w:rsidP="00FE1B9A">
      <w:pPr>
        <w:pStyle w:val="Heading3"/>
        <w:rPr>
          <w:lang w:val="fr-CA"/>
        </w:rPr>
      </w:pPr>
      <w:r w:rsidRPr="00FE1B9A">
        <w:rPr>
          <w:lang w:val="fr-CA"/>
        </w:rPr>
        <w:lastRenderedPageBreak/>
        <w:t>Exigences d’admission des candidates et candidats du Groupe A</w:t>
      </w:r>
    </w:p>
    <w:p w14:paraId="7D8F37D3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Détenir un diplôme d’étude secondaire de l’Ontario avec une moyenne d’au moins 70 % dans 6 cours de 12</w:t>
      </w:r>
      <w:r w:rsidRPr="00FE1B9A">
        <w:rPr>
          <w:vertAlign w:val="superscript"/>
          <w:lang w:val="fr-CA"/>
        </w:rPr>
        <w:t>e</w:t>
      </w:r>
      <w:r w:rsidRPr="00FE1B9A">
        <w:rPr>
          <w:lang w:val="fr-CA"/>
        </w:rPr>
        <w:t> année, niveau 4U/M. Incluant les préalables du programme de votre choix.</w:t>
      </w:r>
    </w:p>
    <w:p w14:paraId="7A5DA6BD" w14:textId="77777777" w:rsidR="00FE1B9A" w:rsidRPr="00FE1B9A" w:rsidRDefault="00FE1B9A" w:rsidP="00FE1B9A">
      <w:pPr>
        <w:rPr>
          <w:lang w:val="fr-CA"/>
        </w:rPr>
      </w:pPr>
      <w:hyperlink r:id="rId11" w:tgtFrame="_blank" w:history="1">
        <w:r w:rsidRPr="00FE1B9A">
          <w:rPr>
            <w:rStyle w:val="Hyperlink"/>
            <w:lang w:val="fr-CA"/>
          </w:rPr>
          <w:t>Plus au sujet des candidates et candidats du Groupe A</w:t>
        </w:r>
      </w:hyperlink>
    </w:p>
    <w:p w14:paraId="75D2A20F" w14:textId="77777777" w:rsidR="00FE1B9A" w:rsidRPr="00FE1B9A" w:rsidRDefault="00FE1B9A" w:rsidP="00FE1B9A">
      <w:pPr>
        <w:pStyle w:val="Heading3"/>
        <w:rPr>
          <w:lang w:val="fr-CA"/>
        </w:rPr>
      </w:pPr>
      <w:r w:rsidRPr="00FE1B9A">
        <w:rPr>
          <w:lang w:val="fr-CA"/>
        </w:rPr>
        <w:t>Exigences d’admission des candidates et candidats du Groupe B</w:t>
      </w:r>
    </w:p>
    <w:p w14:paraId="2CA00DF7" w14:textId="77777777" w:rsidR="00FE1B9A" w:rsidRPr="00FE1B9A" w:rsidRDefault="00FE1B9A" w:rsidP="00FE1B9A">
      <w:pPr>
        <w:pStyle w:val="Heading4"/>
        <w:rPr>
          <w:lang w:val="fr-CA"/>
        </w:rPr>
      </w:pPr>
      <w:r w:rsidRPr="00FE1B9A">
        <w:rPr>
          <w:lang w:val="fr-CA"/>
        </w:rPr>
        <w:t>Candidates et candidats du Groupe B</w:t>
      </w:r>
    </w:p>
    <w:p w14:paraId="13448198" w14:textId="77777777" w:rsidR="00FE1B9A" w:rsidRPr="00FE1B9A" w:rsidRDefault="00FE1B9A" w:rsidP="00FE1B9A">
      <w:pPr>
        <w:numPr>
          <w:ilvl w:val="0"/>
          <w:numId w:val="3"/>
        </w:numPr>
        <w:rPr>
          <w:lang w:val="fr-CA"/>
        </w:rPr>
      </w:pPr>
      <w:hyperlink r:id="rId12" w:tgtFrame="_blank" w:history="1">
        <w:r w:rsidRPr="00FE1B9A">
          <w:rPr>
            <w:rStyle w:val="Hyperlink"/>
            <w:b/>
            <w:bCs/>
            <w:lang w:val="fr-CA"/>
          </w:rPr>
          <w:t>Élèves canadiennes et canadiens du secondaire de l’extérieur de l’Ontario</w:t>
        </w:r>
      </w:hyperlink>
    </w:p>
    <w:p w14:paraId="462C54EC" w14:textId="77777777" w:rsidR="00FE1B9A" w:rsidRPr="00FE1B9A" w:rsidRDefault="00FE1B9A" w:rsidP="00FE1B9A">
      <w:pPr>
        <w:numPr>
          <w:ilvl w:val="0"/>
          <w:numId w:val="3"/>
        </w:numPr>
        <w:rPr>
          <w:lang w:val="fr-CA"/>
        </w:rPr>
      </w:pPr>
      <w:hyperlink r:id="rId13" w:tgtFrame="_blank" w:history="1">
        <w:r w:rsidRPr="00FE1B9A">
          <w:rPr>
            <w:rStyle w:val="Hyperlink"/>
            <w:b/>
            <w:bCs/>
            <w:lang w:val="fr-CA"/>
          </w:rPr>
          <w:t>Candidates étrangères et candidats étrangers</w:t>
        </w:r>
      </w:hyperlink>
    </w:p>
    <w:p w14:paraId="2DC2BE1F" w14:textId="77777777" w:rsidR="00FE1B9A" w:rsidRPr="00FE1B9A" w:rsidRDefault="00FE1B9A" w:rsidP="00FE1B9A">
      <w:pPr>
        <w:numPr>
          <w:ilvl w:val="0"/>
          <w:numId w:val="3"/>
        </w:numPr>
        <w:rPr>
          <w:lang w:val="fr-CA"/>
        </w:rPr>
      </w:pPr>
      <w:hyperlink r:id="rId14" w:tgtFrame="_blank" w:history="1">
        <w:r w:rsidRPr="00FE1B9A">
          <w:rPr>
            <w:rStyle w:val="Hyperlink"/>
            <w:b/>
            <w:bCs/>
            <w:lang w:val="fr-CA"/>
          </w:rPr>
          <w:t>Étudiantes et étudiants ayant complété au moins une année d’études collégiales</w:t>
        </w:r>
      </w:hyperlink>
    </w:p>
    <w:p w14:paraId="230483AE" w14:textId="77777777" w:rsidR="00FE1B9A" w:rsidRPr="00FE1B9A" w:rsidRDefault="00FE1B9A" w:rsidP="00FE1B9A">
      <w:pPr>
        <w:numPr>
          <w:ilvl w:val="0"/>
          <w:numId w:val="3"/>
        </w:numPr>
        <w:rPr>
          <w:lang w:val="fr-CA"/>
        </w:rPr>
      </w:pPr>
      <w:hyperlink r:id="rId15" w:tgtFrame="_blank" w:history="1">
        <w:r w:rsidRPr="00FE1B9A">
          <w:rPr>
            <w:rStyle w:val="Hyperlink"/>
            <w:b/>
            <w:bCs/>
            <w:lang w:val="fr-CA"/>
          </w:rPr>
          <w:t>Étudiantes et étudiants ayant complété au moins une année dans une autre université canadienne</w:t>
        </w:r>
      </w:hyperlink>
    </w:p>
    <w:p w14:paraId="7F3C6A92" w14:textId="77777777" w:rsidR="00FE1B9A" w:rsidRPr="00FE1B9A" w:rsidRDefault="00FE1B9A" w:rsidP="00FE1B9A">
      <w:pPr>
        <w:numPr>
          <w:ilvl w:val="0"/>
          <w:numId w:val="3"/>
        </w:numPr>
        <w:rPr>
          <w:lang w:val="fr-CA"/>
        </w:rPr>
      </w:pPr>
      <w:hyperlink r:id="rId16" w:tgtFrame="_blank" w:history="1">
        <w:r w:rsidRPr="00FE1B9A">
          <w:rPr>
            <w:rStyle w:val="Hyperlink"/>
            <w:b/>
            <w:bCs/>
            <w:lang w:val="fr-CA"/>
          </w:rPr>
          <w:t>Candidates et candidats adultes et autres</w:t>
        </w:r>
      </w:hyperlink>
      <w:r w:rsidRPr="00FE1B9A">
        <w:rPr>
          <w:lang w:val="fr-CA"/>
        </w:rPr>
        <w:t>  </w:t>
      </w:r>
    </w:p>
    <w:p w14:paraId="4BD1645D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pict w14:anchorId="6A345CF4">
          <v:rect id="_x0000_i1082" style="width:658.5pt;height:0" o:hrpct="0" o:hralign="center" o:hrstd="t" o:hr="t" fillcolor="#a0a0a0" stroked="f"/>
        </w:pict>
      </w:r>
    </w:p>
    <w:p w14:paraId="2AE832A8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t>Documents à l’appui</w:t>
      </w:r>
    </w:p>
    <w:p w14:paraId="28EC22A3" w14:textId="77777777" w:rsidR="00FE1B9A" w:rsidRPr="00FE1B9A" w:rsidRDefault="00FE1B9A" w:rsidP="00FE1B9A">
      <w:pPr>
        <w:pStyle w:val="Heading3"/>
        <w:rPr>
          <w:lang w:val="fr-CA"/>
        </w:rPr>
      </w:pPr>
      <w:r w:rsidRPr="00FE1B9A">
        <w:rPr>
          <w:lang w:val="fr-CA"/>
        </w:rPr>
        <w:t>Survol</w:t>
      </w:r>
    </w:p>
    <w:p w14:paraId="05F98542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Vous êtes responsables de vous assurer que vous satisfaites aux exigences de votre programme.</w:t>
      </w:r>
    </w:p>
    <w:p w14:paraId="5079F7BD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Visitez notre site web pour connaitre les informations importantes face aux relevés de notes ainsi que le formulaire d’inscription.</w:t>
      </w:r>
    </w:p>
    <w:p w14:paraId="7221E16D" w14:textId="77777777" w:rsidR="00FE1B9A" w:rsidRPr="00FE1B9A" w:rsidRDefault="00FE1B9A" w:rsidP="00FE1B9A">
      <w:pPr>
        <w:rPr>
          <w:lang w:val="fr-CA"/>
        </w:rPr>
      </w:pPr>
      <w:hyperlink r:id="rId17" w:tgtFrame="_blank" w:history="1">
        <w:r w:rsidRPr="00FE1B9A">
          <w:rPr>
            <w:rStyle w:val="Hyperlink"/>
            <w:lang w:val="fr-CA"/>
          </w:rPr>
          <w:t>Plus au sujet des documents à l’appui</w:t>
        </w:r>
      </w:hyperlink>
    </w:p>
    <w:p w14:paraId="18D215A6" w14:textId="77777777" w:rsidR="00FE1B9A" w:rsidRPr="00FE1B9A" w:rsidRDefault="00FE1B9A" w:rsidP="00FE1B9A">
      <w:pPr>
        <w:pStyle w:val="Heading3"/>
        <w:rPr>
          <w:lang w:val="fr-CA"/>
        </w:rPr>
      </w:pPr>
      <w:r w:rsidRPr="00FE1B9A">
        <w:rPr>
          <w:lang w:val="fr-CA"/>
        </w:rPr>
        <w:t>Exigences linguistiques</w:t>
      </w:r>
    </w:p>
    <w:p w14:paraId="4E954F4E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Vous devez rédiger les travaux et répondre aux questions d’examen dans la langue d’enseignement du cours.</w:t>
      </w:r>
    </w:p>
    <w:p w14:paraId="5110408C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Puisque certains ouvrages ne sont disponibles qu’en anglais, la réussite des études exige une bonne compréhension de l’anglais.    </w:t>
      </w:r>
    </w:p>
    <w:p w14:paraId="77891332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pict w14:anchorId="75DEDB0C">
          <v:rect id="_x0000_i1083" style="width:658.5pt;height:0" o:hrpct="0" o:hralign="center" o:hrstd="t" o:hr="t" fillcolor="#a0a0a0" stroked="f"/>
        </w:pict>
      </w:r>
    </w:p>
    <w:p w14:paraId="37CAAEC1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lastRenderedPageBreak/>
        <w:t>Bourses d’études, bourses d’entretien et aide financière</w:t>
      </w:r>
    </w:p>
    <w:p w14:paraId="759EF6C8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Un généreux programme de bourses est disponible aux étudiantes et aux étudiants qui choisissent de s’inscrire chez nous.</w:t>
      </w:r>
    </w:p>
    <w:p w14:paraId="6E6E3A3C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Nous offrons des bourses allant de 3</w:t>
      </w:r>
      <w:r w:rsidRPr="00FE1B9A">
        <w:rPr>
          <w:rFonts w:ascii="Arial" w:hAnsi="Arial" w:cs="Arial"/>
          <w:lang w:val="fr-CA"/>
        </w:rPr>
        <w:t> </w:t>
      </w:r>
      <w:r w:rsidRPr="00FE1B9A">
        <w:rPr>
          <w:lang w:val="fr-CA"/>
        </w:rPr>
        <w:t>000</w:t>
      </w:r>
      <w:r w:rsidRPr="00FE1B9A">
        <w:rPr>
          <w:rFonts w:ascii="Aptos" w:hAnsi="Aptos" w:cs="Aptos"/>
          <w:lang w:val="fr-CA"/>
        </w:rPr>
        <w:t> </w:t>
      </w:r>
      <w:r w:rsidRPr="00FE1B9A">
        <w:rPr>
          <w:lang w:val="fr-CA"/>
        </w:rPr>
        <w:t xml:space="preserve">$ </w:t>
      </w:r>
      <w:r w:rsidRPr="00FE1B9A">
        <w:rPr>
          <w:rFonts w:ascii="Aptos" w:hAnsi="Aptos" w:cs="Aptos"/>
          <w:lang w:val="fr-CA"/>
        </w:rPr>
        <w:t>à</w:t>
      </w:r>
      <w:r w:rsidRPr="00FE1B9A">
        <w:rPr>
          <w:lang w:val="fr-CA"/>
        </w:rPr>
        <w:t xml:space="preserve"> 12</w:t>
      </w:r>
      <w:r w:rsidRPr="00FE1B9A">
        <w:rPr>
          <w:rFonts w:ascii="Arial" w:hAnsi="Arial" w:cs="Arial"/>
          <w:lang w:val="fr-CA"/>
        </w:rPr>
        <w:t> </w:t>
      </w:r>
      <w:r w:rsidRPr="00FE1B9A">
        <w:rPr>
          <w:lang w:val="fr-CA"/>
        </w:rPr>
        <w:t>000</w:t>
      </w:r>
      <w:r w:rsidRPr="00FE1B9A">
        <w:rPr>
          <w:rFonts w:ascii="Aptos" w:hAnsi="Aptos" w:cs="Aptos"/>
          <w:lang w:val="fr-CA"/>
        </w:rPr>
        <w:t> </w:t>
      </w:r>
      <w:r w:rsidRPr="00FE1B9A">
        <w:rPr>
          <w:lang w:val="fr-CA"/>
        </w:rPr>
        <w:t>$ aux personnes qui s</w:t>
      </w:r>
      <w:r w:rsidRPr="00FE1B9A">
        <w:rPr>
          <w:rFonts w:ascii="Aptos" w:hAnsi="Aptos" w:cs="Aptos"/>
          <w:lang w:val="fr-CA"/>
        </w:rPr>
        <w:t>’</w:t>
      </w:r>
      <w:r w:rsidRPr="00FE1B9A">
        <w:rPr>
          <w:lang w:val="fr-CA"/>
        </w:rPr>
        <w:t xml:space="preserve">inscrivent </w:t>
      </w:r>
      <w:r w:rsidRPr="00FE1B9A">
        <w:rPr>
          <w:rFonts w:ascii="Aptos" w:hAnsi="Aptos" w:cs="Aptos"/>
          <w:lang w:val="fr-CA"/>
        </w:rPr>
        <w:t>à</w:t>
      </w:r>
      <w:r w:rsidRPr="00FE1B9A">
        <w:rPr>
          <w:lang w:val="fr-CA"/>
        </w:rPr>
        <w:t xml:space="preserve"> plein temps et d</w:t>
      </w:r>
      <w:r w:rsidRPr="00FE1B9A">
        <w:rPr>
          <w:rFonts w:ascii="Aptos" w:hAnsi="Aptos" w:cs="Aptos"/>
          <w:lang w:val="fr-CA"/>
        </w:rPr>
        <w:t>’</w:t>
      </w:r>
      <w:r w:rsidRPr="00FE1B9A">
        <w:rPr>
          <w:lang w:val="fr-CA"/>
        </w:rPr>
        <w:t xml:space="preserve">autres bourses </w:t>
      </w:r>
      <w:r w:rsidRPr="00FE1B9A">
        <w:rPr>
          <w:rFonts w:ascii="Aptos" w:hAnsi="Aptos" w:cs="Aptos"/>
          <w:lang w:val="fr-CA"/>
        </w:rPr>
        <w:t>à</w:t>
      </w:r>
      <w:r w:rsidRPr="00FE1B9A">
        <w:rPr>
          <w:lang w:val="fr-CA"/>
        </w:rPr>
        <w:t xml:space="preserve"> celles qui s</w:t>
      </w:r>
      <w:r w:rsidRPr="00FE1B9A">
        <w:rPr>
          <w:rFonts w:ascii="Aptos" w:hAnsi="Aptos" w:cs="Aptos"/>
          <w:lang w:val="fr-CA"/>
        </w:rPr>
        <w:t>’</w:t>
      </w:r>
      <w:r w:rsidRPr="00FE1B9A">
        <w:rPr>
          <w:lang w:val="fr-CA"/>
        </w:rPr>
        <w:t xml:space="preserve">inscrivent </w:t>
      </w:r>
      <w:r w:rsidRPr="00FE1B9A">
        <w:rPr>
          <w:rFonts w:ascii="Aptos" w:hAnsi="Aptos" w:cs="Aptos"/>
          <w:lang w:val="fr-CA"/>
        </w:rPr>
        <w:t>à</w:t>
      </w:r>
      <w:r w:rsidRPr="00FE1B9A">
        <w:rPr>
          <w:lang w:val="fr-CA"/>
        </w:rPr>
        <w:t xml:space="preserve"> temps partiel.</w:t>
      </w:r>
    </w:p>
    <w:p w14:paraId="15BCF913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Nous avons également notre propre régime d’aide financière dont le but est d’aider les étudiantes et les étudiants qui, à cause de leur situation financière difficile, ne peuvent s’inscrire ou poursuivre leurs études universitaires.</w:t>
      </w:r>
    </w:p>
    <w:p w14:paraId="0DAC0953" w14:textId="77777777" w:rsidR="00FE1B9A" w:rsidRPr="00FE1B9A" w:rsidRDefault="00FE1B9A" w:rsidP="00FE1B9A">
      <w:pPr>
        <w:rPr>
          <w:lang w:val="fr-CA"/>
        </w:rPr>
      </w:pPr>
      <w:hyperlink r:id="rId18" w:tgtFrame="_blank" w:history="1">
        <w:r w:rsidRPr="00FE1B9A">
          <w:rPr>
            <w:rStyle w:val="Hyperlink"/>
            <w:lang w:val="fr-CA"/>
          </w:rPr>
          <w:t>Plus au sujet des bourses</w:t>
        </w:r>
      </w:hyperlink>
    </w:p>
    <w:p w14:paraId="1BEE6A34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pict w14:anchorId="01865678">
          <v:rect id="_x0000_i1084" style="width:658.5pt;height:0" o:hrpct="0" o:hralign="center" o:hrstd="t" o:hr="t" fillcolor="#a0a0a0" stroked="f"/>
        </w:pict>
      </w:r>
    </w:p>
    <w:p w14:paraId="08293FFE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t>Services d’accessibilité</w:t>
      </w:r>
    </w:p>
    <w:p w14:paraId="3188A301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Divers services d’encadrement et de soutien pédagogique ont été mis en place afin d’aider et de vous accompagner dans votre cheminement universitaire.</w:t>
      </w:r>
    </w:p>
    <w:p w14:paraId="61E22BE3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Se questionner, repenser, explorer font partie intégrante de notre approche humaine qui nous permet d’être présents auprès des personnes qui ont choisi de poursuivre leurs études universitaires avec nous.</w:t>
      </w:r>
    </w:p>
    <w:p w14:paraId="3CBA8B17" w14:textId="77777777" w:rsidR="00FE1B9A" w:rsidRPr="00FE1B9A" w:rsidRDefault="00FE1B9A" w:rsidP="00FE1B9A">
      <w:pPr>
        <w:rPr>
          <w:lang w:val="fr-CA"/>
        </w:rPr>
      </w:pPr>
      <w:hyperlink r:id="rId19" w:tgtFrame="_blank" w:history="1">
        <w:r w:rsidRPr="00FE1B9A">
          <w:rPr>
            <w:rStyle w:val="Hyperlink"/>
            <w:lang w:val="fr-CA"/>
          </w:rPr>
          <w:t>Plus au sujet des services aux élèves</w:t>
        </w:r>
      </w:hyperlink>
    </w:p>
    <w:p w14:paraId="5B76D336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pict w14:anchorId="19AFFDDB">
          <v:rect id="_x0000_i1085" style="width:658.5pt;height:0" o:hrpct="0" o:hralign="center" o:hrstd="t" o:hr="t" fillcolor="#a0a0a0" stroked="f"/>
        </w:pict>
      </w:r>
    </w:p>
    <w:p w14:paraId="05DA4370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t>Résidence</w:t>
      </w:r>
    </w:p>
    <w:p w14:paraId="2159C946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La vie en résidence est l’une des multiples facettes de l’expérience universitaire. Elle permet, entre autres, de rapidement faire la connaissance de collègues et de nouer des liens d’amitié durables.</w:t>
      </w:r>
    </w:p>
    <w:p w14:paraId="0C8B5501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À l’</w:t>
      </w:r>
      <w:proofErr w:type="spellStart"/>
      <w:r w:rsidRPr="00FE1B9A">
        <w:rPr>
          <w:lang w:val="fr-CA"/>
        </w:rPr>
        <w:t>UdeH</w:t>
      </w:r>
      <w:proofErr w:type="spellEnd"/>
      <w:r w:rsidRPr="00FE1B9A">
        <w:rPr>
          <w:lang w:val="fr-CA"/>
        </w:rPr>
        <w:t>, nous vous offrons la possibilité d’occuper une place en résidence à nos campus de Timmins ou de Hearst. Chacune des résidences possède son cachet et procure un environnement chaleureux.</w:t>
      </w:r>
    </w:p>
    <w:p w14:paraId="5848C148" w14:textId="77777777" w:rsidR="00FE1B9A" w:rsidRPr="00FE1B9A" w:rsidRDefault="00FE1B9A" w:rsidP="00FE1B9A">
      <w:pPr>
        <w:rPr>
          <w:lang w:val="fr-CA"/>
        </w:rPr>
      </w:pPr>
      <w:hyperlink r:id="rId20" w:tgtFrame="_blank" w:history="1">
        <w:r w:rsidRPr="00FE1B9A">
          <w:rPr>
            <w:rStyle w:val="Hyperlink"/>
            <w:lang w:val="fr-CA"/>
          </w:rPr>
          <w:t>Plus au sujet de la résidence</w:t>
        </w:r>
      </w:hyperlink>
    </w:p>
    <w:p w14:paraId="7A2BD0A7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pict w14:anchorId="0FAA803F">
          <v:rect id="_x0000_i1086" style="width:658.5pt;height:0" o:hrpct="0" o:hralign="center" o:hrstd="t" o:hr="t" fillcolor="#a0a0a0" stroked="f"/>
        </w:pict>
      </w:r>
    </w:p>
    <w:p w14:paraId="1068CB51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t>Tournées de campus et événements</w:t>
      </w:r>
    </w:p>
    <w:p w14:paraId="1F4C92E8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Notre dynamique équipe des liaisons peut vous accompagner, peu importe vos besoins!</w:t>
      </w:r>
    </w:p>
    <w:p w14:paraId="57AC95C3" w14:textId="77777777" w:rsidR="00FE1B9A" w:rsidRPr="00FE1B9A" w:rsidRDefault="00FE1B9A" w:rsidP="00FE1B9A">
      <w:pPr>
        <w:rPr>
          <w:lang w:val="fr-CA"/>
        </w:rPr>
      </w:pPr>
      <w:hyperlink r:id="rId21" w:history="1">
        <w:r w:rsidRPr="00FE1B9A">
          <w:rPr>
            <w:rStyle w:val="Hyperlink"/>
            <w:b/>
            <w:bCs/>
            <w:lang w:val="fr-CA"/>
          </w:rPr>
          <w:t>Envoyez-nous un courriel</w:t>
        </w:r>
      </w:hyperlink>
      <w:r w:rsidRPr="00FE1B9A">
        <w:rPr>
          <w:lang w:val="fr-CA"/>
        </w:rPr>
        <w:t> pour organiser une visite de campus.</w:t>
      </w:r>
    </w:p>
    <w:p w14:paraId="12FA3E9F" w14:textId="77777777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t>N’oubliez pas de nous suivre sur </w:t>
      </w:r>
      <w:hyperlink r:id="rId22" w:tgtFrame="_blank" w:history="1">
        <w:r w:rsidRPr="00FE1B9A">
          <w:rPr>
            <w:rStyle w:val="Hyperlink"/>
            <w:b/>
            <w:bCs/>
            <w:lang w:val="fr-CA"/>
          </w:rPr>
          <w:t>Instagram</w:t>
        </w:r>
      </w:hyperlink>
      <w:r w:rsidRPr="00FE1B9A">
        <w:rPr>
          <w:lang w:val="fr-CA"/>
        </w:rPr>
        <w:t> pour tout savoir des activités en cours ou à venir!      </w:t>
      </w:r>
    </w:p>
    <w:p w14:paraId="4D68FA87" w14:textId="29759001" w:rsidR="00FE1B9A" w:rsidRPr="00FE1B9A" w:rsidRDefault="00FE1B9A" w:rsidP="00FE1B9A">
      <w:pPr>
        <w:rPr>
          <w:lang w:val="fr-CA"/>
        </w:rPr>
      </w:pPr>
      <w:r w:rsidRPr="00FE1B9A">
        <w:rPr>
          <w:lang w:val="fr-CA"/>
        </w:rPr>
        <w:pict w14:anchorId="1B06AD05">
          <v:rect id="_x0000_i1087" style="width:658.5pt;height:0" o:hrpct="0" o:hralign="center" o:hrstd="t" o:hr="t" fillcolor="#a0a0a0" stroked="f"/>
        </w:pict>
      </w:r>
    </w:p>
    <w:p w14:paraId="4F5FEB9A" w14:textId="77777777" w:rsidR="00FE1B9A" w:rsidRPr="00FE1B9A" w:rsidRDefault="00FE1B9A" w:rsidP="00FE1B9A">
      <w:pPr>
        <w:pStyle w:val="Heading2"/>
        <w:rPr>
          <w:lang w:val="fr-CA"/>
        </w:rPr>
      </w:pPr>
      <w:r w:rsidRPr="00FE1B9A">
        <w:rPr>
          <w:lang w:val="fr-CA"/>
        </w:rPr>
        <w:t>Coordonnées</w:t>
      </w:r>
    </w:p>
    <w:p w14:paraId="2DDE55A1" w14:textId="77777777" w:rsidR="00FE1B9A" w:rsidRPr="00FE1B9A" w:rsidRDefault="00FE1B9A" w:rsidP="00FE1B9A">
      <w:pPr>
        <w:rPr>
          <w:lang w:val="fr-CA"/>
        </w:rPr>
      </w:pPr>
      <w:hyperlink r:id="rId23" w:tgtFrame="_blank" w:history="1">
        <w:r w:rsidRPr="00FE1B9A">
          <w:rPr>
            <w:rStyle w:val="Hyperlink"/>
            <w:b/>
            <w:bCs/>
            <w:lang w:val="fr-CA"/>
          </w:rPr>
          <w:t>Université de Hearst</w:t>
        </w:r>
      </w:hyperlink>
      <w:r w:rsidRPr="00FE1B9A">
        <w:rPr>
          <w:lang w:val="fr-CA"/>
        </w:rPr>
        <w:br/>
        <w:t>60, 9e rue, SP 580</w:t>
      </w:r>
      <w:r w:rsidRPr="00FE1B9A">
        <w:rPr>
          <w:lang w:val="fr-CA"/>
        </w:rPr>
        <w:br/>
        <w:t>Hearst (Ontario) P0L 1N0</w:t>
      </w:r>
      <w:r w:rsidRPr="00FE1B9A">
        <w:rPr>
          <w:lang w:val="fr-CA"/>
        </w:rPr>
        <w:br/>
        <w:t>Téléphone : 705 372-1781</w:t>
      </w:r>
      <w:r w:rsidRPr="00FE1B9A">
        <w:rPr>
          <w:lang w:val="fr-CA"/>
        </w:rPr>
        <w:br/>
        <w:t>Adresse électronique : </w:t>
      </w:r>
      <w:hyperlink r:id="rId24" w:history="1">
        <w:r w:rsidRPr="00FE1B9A">
          <w:rPr>
            <w:rStyle w:val="Hyperlink"/>
            <w:b/>
            <w:bCs/>
            <w:lang w:val="fr-CA"/>
          </w:rPr>
          <w:t>liaisons@uhearst.ca</w:t>
        </w:r>
      </w:hyperlink>
    </w:p>
    <w:p w14:paraId="2B13EC3B" w14:textId="77777777" w:rsidR="00FE1B9A" w:rsidRPr="00FE1B9A" w:rsidRDefault="00FE1B9A">
      <w:pPr>
        <w:rPr>
          <w:lang w:val="fr-CA"/>
        </w:rPr>
      </w:pPr>
    </w:p>
    <w:sectPr w:rsidR="00FE1B9A" w:rsidRPr="00FE1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18CF"/>
    <w:multiLevelType w:val="multilevel"/>
    <w:tmpl w:val="D5F2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A6EDC"/>
    <w:multiLevelType w:val="multilevel"/>
    <w:tmpl w:val="885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F30A4"/>
    <w:multiLevelType w:val="multilevel"/>
    <w:tmpl w:val="7B1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50547">
    <w:abstractNumId w:val="1"/>
  </w:num>
  <w:num w:numId="2" w16cid:durableId="937327603">
    <w:abstractNumId w:val="2"/>
  </w:num>
  <w:num w:numId="3" w16cid:durableId="12420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9A"/>
    <w:rsid w:val="00C51F5D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9285"/>
  <w15:chartTrackingRefBased/>
  <w15:docId w15:val="{BBDE22B2-E1C6-4CEE-9598-0E15183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1B9A"/>
    <w:pPr>
      <w:keepNext/>
      <w:keepLines/>
      <w:spacing w:before="80" w:after="40"/>
      <w:outlineLvl w:val="3"/>
    </w:pPr>
    <w:rPr>
      <w:rFonts w:eastAsiaTheme="majorEastAsia" w:cstheme="majorBidi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1B9A"/>
    <w:rPr>
      <w:rFonts w:eastAsiaTheme="majorEastAsia" w:cstheme="majorBidi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B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1B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B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1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1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3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6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9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501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501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5703112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2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5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8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9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764716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4919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4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63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73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614098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7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1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6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9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7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4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6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1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5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8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0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8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29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33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047142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2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4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6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14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6759115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5412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50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60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20118293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6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5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5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5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5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1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earst.ca/desp" TargetMode="External"/><Relationship Id="rId13" Type="http://schemas.openxmlformats.org/officeDocument/2006/relationships/hyperlink" Target="https://www.uhearst.ca/processus-dadmission/de-letranger/" TargetMode="External"/><Relationship Id="rId18" Type="http://schemas.openxmlformats.org/officeDocument/2006/relationships/hyperlink" Target="http://www.uhearst.ca/bourses-et-aides-financier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iaisons@uhearst.ca" TargetMode="External"/><Relationship Id="rId7" Type="http://schemas.openxmlformats.org/officeDocument/2006/relationships/hyperlink" Target="http://www.uhearst.ca/programmes/psychologie/" TargetMode="External"/><Relationship Id="rId12" Type="http://schemas.openxmlformats.org/officeDocument/2006/relationships/hyperlink" Target="https://www.uhearst.ca/processus-dadmission/dune-ecole-secondaire-dune-autre-province/" TargetMode="External"/><Relationship Id="rId17" Type="http://schemas.openxmlformats.org/officeDocument/2006/relationships/hyperlink" Target="http://www.uhearst.ca/reglements-procedures-et-formulair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hearst.ca/processus-dadmission/dune-personne-adulte/" TargetMode="External"/><Relationship Id="rId20" Type="http://schemas.openxmlformats.org/officeDocument/2006/relationships/hyperlink" Target="http://www.uhearst.ca/vie-etudiante/logem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hearst.ca/programmes/etude-des-enjeux-humains-et-sociaux/" TargetMode="External"/><Relationship Id="rId11" Type="http://schemas.openxmlformats.org/officeDocument/2006/relationships/hyperlink" Target="http://www.uhearst.ca/processus-dadmission/dune-ecole-secondaire-de-lontario/" TargetMode="External"/><Relationship Id="rId24" Type="http://schemas.openxmlformats.org/officeDocument/2006/relationships/hyperlink" Target="mailto:liaisons@uhearst.ca" TargetMode="External"/><Relationship Id="rId5" Type="http://schemas.openxmlformats.org/officeDocument/2006/relationships/hyperlink" Target="http://www.uhearst.ca/programmes/administration-des-affaires-et-gestion/" TargetMode="External"/><Relationship Id="rId15" Type="http://schemas.openxmlformats.org/officeDocument/2006/relationships/hyperlink" Target="https://www.uhearst.ca/processus-dadmission/dune-universite-canadienne/" TargetMode="External"/><Relationship Id="rId23" Type="http://schemas.openxmlformats.org/officeDocument/2006/relationships/hyperlink" Target="http://www.uhearst.ca/" TargetMode="External"/><Relationship Id="rId10" Type="http://schemas.openxmlformats.org/officeDocument/2006/relationships/hyperlink" Target="http://www.uhearst.ca/processus-dadmission/" TargetMode="External"/><Relationship Id="rId19" Type="http://schemas.openxmlformats.org/officeDocument/2006/relationships/hyperlink" Target="http://www.uhearst.ca/vie-etudiante/encadrement-et-soutien-academ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uac.on.ca/fr/guide/premier-cycle-dates/" TargetMode="External"/><Relationship Id="rId14" Type="http://schemas.openxmlformats.org/officeDocument/2006/relationships/hyperlink" Target="https://www.uhearst.ca/processus-dadmission/dun-college-ontarien/" TargetMode="External"/><Relationship Id="rId22" Type="http://schemas.openxmlformats.org/officeDocument/2006/relationships/hyperlink" Target="https://www.instagram.com/uhearst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</cp:revision>
  <dcterms:created xsi:type="dcterms:W3CDTF">2025-02-10T18:37:00Z</dcterms:created>
  <dcterms:modified xsi:type="dcterms:W3CDTF">2025-02-10T18:39:00Z</dcterms:modified>
</cp:coreProperties>
</file>