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EBB6" w14:textId="771DA539" w:rsidR="008E0C79" w:rsidRDefault="00DF1B83">
      <w:pPr>
        <w:rPr>
          <w:rFonts w:ascii="Roboto" w:hAnsi="Roboto"/>
          <w:color w:val="212529"/>
          <w:shd w:val="clear" w:color="auto" w:fill="E6E6E6"/>
        </w:rPr>
      </w:pPr>
      <w:proofErr w:type="gramStart"/>
      <w:r>
        <w:rPr>
          <w:rFonts w:ascii="Roboto" w:hAnsi="Roboto"/>
          <w:color w:val="212529"/>
          <w:shd w:val="clear" w:color="auto" w:fill="E6E6E6"/>
        </w:rPr>
        <w:t>prefix:help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subject:pageHelpottawoa</w:t>
      </w:r>
      <w:proofErr w:type="gramEnd"/>
      <w:r>
        <w:rPr>
          <w:rFonts w:ascii="Roboto" w:hAnsi="Roboto"/>
          <w:color w:val="212529"/>
          <w:shd w:val="clear" w:color="auto" w:fill="E6E6E6"/>
        </w:rPr>
        <w:t>201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540E" w14:paraId="25B62CBE" w14:textId="77777777" w:rsidTr="008E540E">
        <w:tc>
          <w:tcPr>
            <w:tcW w:w="4675" w:type="dxa"/>
          </w:tcPr>
          <w:p w14:paraId="081E2BA4" w14:textId="2F335749" w:rsidR="008E540E" w:rsidRPr="008E540E" w:rsidRDefault="008E540E" w:rsidP="008E540E">
            <w:pPr>
              <w:pStyle w:val="NormalWeb"/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</w:rPr>
              <w:t>Ottawa Audiology:</w:t>
            </w:r>
            <w:r w:rsidRPr="008E540E">
              <w:rPr>
                <w:rFonts w:ascii="Roboto" w:hAnsi="Roboto" w:cs="Segoe UI"/>
              </w:rPr>
              <w:br/>
            </w:r>
            <w:r w:rsidRPr="008E540E">
              <w:rPr>
                <w:rFonts w:ascii="Roboto" w:hAnsi="Roboto" w:cs="Segoe UI"/>
              </w:rPr>
              <w:br/>
            </w:r>
            <w:r w:rsidRPr="008E540E">
              <w:rPr>
                <w:rFonts w:ascii="Roboto" w:hAnsi="Roboto" w:cs="Segoe UI"/>
              </w:rPr>
              <w:t>Have obtained 3 university units (1 half-year course) in each of the following subjects:</w:t>
            </w:r>
          </w:p>
          <w:p w14:paraId="087CE828" w14:textId="77777777" w:rsidR="008E540E" w:rsidRPr="008E540E" w:rsidRDefault="008E540E" w:rsidP="008E540E">
            <w:pPr>
              <w:pStyle w:val="NormalWeb"/>
              <w:numPr>
                <w:ilvl w:val="0"/>
                <w:numId w:val="9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</w:rPr>
              <w:t>Intermediate-level quantitative statistics or research methods (e.g., PSY2516 or the equivalent)</w:t>
            </w:r>
          </w:p>
          <w:p w14:paraId="3AE2F523" w14:textId="77777777" w:rsidR="008E540E" w:rsidRPr="008E540E" w:rsidRDefault="008E540E" w:rsidP="008E540E">
            <w:pPr>
              <w:pStyle w:val="NormalWeb"/>
              <w:numPr>
                <w:ilvl w:val="0"/>
                <w:numId w:val="9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</w:rPr>
              <w:t>Human physiology or anatomy (e.g., PSY2701 or the equivalent)</w:t>
            </w:r>
          </w:p>
          <w:p w14:paraId="2FE318CE" w14:textId="77777777" w:rsidR="008E540E" w:rsidRPr="008E540E" w:rsidRDefault="008E540E" w:rsidP="008E540E">
            <w:pPr>
              <w:pStyle w:val="NormalWeb"/>
              <w:numPr>
                <w:ilvl w:val="0"/>
                <w:numId w:val="9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</w:rPr>
              <w:t>Acoustics or sound/speech analysis (e.g., HSS2525 or the equivalent)</w:t>
            </w:r>
          </w:p>
          <w:p w14:paraId="363B6F8D" w14:textId="77777777" w:rsidR="008E540E" w:rsidRPr="008E540E" w:rsidRDefault="008E540E" w:rsidP="008E540E">
            <w:pPr>
              <w:pStyle w:val="NormalWeb"/>
              <w:numPr>
                <w:ilvl w:val="0"/>
                <w:numId w:val="9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</w:rPr>
              <w:t>A relevant course in psychology (e.g., child development, aging, perception), such as PSY2505 or the equivalent</w:t>
            </w:r>
          </w:p>
          <w:p w14:paraId="21335076" w14:textId="77777777" w:rsidR="008E540E" w:rsidRPr="008E540E" w:rsidRDefault="008E540E" w:rsidP="008E540E">
            <w:pPr>
              <w:pStyle w:val="NormalWeb"/>
              <w:numPr>
                <w:ilvl w:val="0"/>
                <w:numId w:val="9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</w:rPr>
              <w:t>A relevant subject course in linguistics, preferably in general phonetics or phonetics/phonology (e.g., LIN2720 or the equivalent)</w:t>
            </w:r>
          </w:p>
          <w:p w14:paraId="147539BB" w14:textId="19391112" w:rsidR="008E540E" w:rsidRPr="008E540E" w:rsidRDefault="008E540E" w:rsidP="000A24BC">
            <w:pPr>
              <w:pStyle w:val="NormalWeb"/>
              <w:rPr>
                <w:rFonts w:ascii="Segoe UI" w:hAnsi="Segoe UI" w:cs="Segoe UI"/>
              </w:rPr>
            </w:pPr>
            <w:hyperlink r:id="rId6" w:tgtFrame="_blank" w:tooltip="Opens in a new window" w:history="1">
              <w:r w:rsidRPr="008E540E">
                <w:rPr>
                  <w:rStyle w:val="Hyperlink"/>
                  <w:rFonts w:ascii="Roboto" w:hAnsi="Roboto" w:cs="Segoe UI"/>
                </w:rPr>
                <w:t>List of accepted course equivalencies</w:t>
              </w:r>
            </w:hyperlink>
            <w:r w:rsidRPr="008E540E">
              <w:rPr>
                <w:rFonts w:ascii="Roboto" w:hAnsi="Roboto" w:cs="Segoe UI"/>
              </w:rPr>
              <w:t>.</w:t>
            </w:r>
            <w:r w:rsidRPr="008E540E">
              <w:rPr>
                <w:rFonts w:ascii="Roboto" w:hAnsi="Roboto" w:cs="Segoe UI"/>
              </w:rPr>
              <w:br/>
            </w:r>
            <w:r w:rsidRPr="008E540E">
              <w:rPr>
                <w:rFonts w:ascii="Roboto" w:hAnsi="Roboto" w:cs="Segoe UI"/>
              </w:rPr>
              <w:br/>
              <w:t>For courses in progress, enter "IPR" as the grade.</w:t>
            </w:r>
          </w:p>
        </w:tc>
        <w:tc>
          <w:tcPr>
            <w:tcW w:w="4675" w:type="dxa"/>
          </w:tcPr>
          <w:p w14:paraId="5A714F40" w14:textId="77777777" w:rsidR="008E540E" w:rsidRPr="008E540E" w:rsidRDefault="008E540E" w:rsidP="008E540E">
            <w:pPr>
              <w:pStyle w:val="NormalWeb"/>
              <w:rPr>
                <w:rFonts w:ascii="Roboto" w:hAnsi="Roboto" w:cs="Segoe UI"/>
                <w:lang w:val="fr-CA"/>
              </w:rPr>
            </w:pPr>
            <w:r w:rsidRPr="008E540E">
              <w:rPr>
                <w:rFonts w:ascii="Roboto" w:hAnsi="Roboto" w:cs="Segoe UI"/>
                <w:lang w:val="fr-CA"/>
              </w:rPr>
              <w:t>Ottawa Audiologie :</w:t>
            </w:r>
            <w:r w:rsidRPr="008E540E">
              <w:rPr>
                <w:rFonts w:ascii="Roboto" w:hAnsi="Roboto" w:cs="Segoe UI"/>
                <w:lang w:val="fr-CA"/>
              </w:rPr>
              <w:br/>
            </w:r>
            <w:r w:rsidRPr="008E540E">
              <w:rPr>
                <w:rFonts w:ascii="Roboto" w:hAnsi="Roboto" w:cs="Segoe UI"/>
                <w:lang w:val="fr-CA"/>
              </w:rPr>
              <w:br/>
              <w:t>Avoir obtenu 3 crédits universitaires (1 cours semestriel) dans chacune des matières suivantes :</w:t>
            </w:r>
          </w:p>
          <w:p w14:paraId="47FA1F4B" w14:textId="77777777" w:rsidR="008E540E" w:rsidRPr="008E540E" w:rsidRDefault="008E540E" w:rsidP="008E540E">
            <w:pPr>
              <w:pStyle w:val="NormalWeb"/>
              <w:numPr>
                <w:ilvl w:val="0"/>
                <w:numId w:val="10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  <w:lang w:val="fr-CA"/>
              </w:rPr>
              <w:t xml:space="preserve">Statistiques ou méthodes de recherche quantitatives de niveau intermédiaire (p. ex. </w:t>
            </w:r>
            <w:r w:rsidRPr="008E540E">
              <w:rPr>
                <w:rFonts w:ascii="Roboto" w:hAnsi="Roboto" w:cs="Segoe UI"/>
              </w:rPr>
              <w:t xml:space="preserve">PSY2516 </w:t>
            </w:r>
            <w:proofErr w:type="spellStart"/>
            <w:r w:rsidRPr="008E540E">
              <w:rPr>
                <w:rFonts w:ascii="Roboto" w:hAnsi="Roboto" w:cs="Segoe UI"/>
              </w:rPr>
              <w:t>ou</w:t>
            </w:r>
            <w:proofErr w:type="spellEnd"/>
            <w:r w:rsidRPr="008E540E">
              <w:rPr>
                <w:rFonts w:ascii="Roboto" w:hAnsi="Roboto" w:cs="Segoe UI"/>
              </w:rPr>
              <w:t xml:space="preserve"> </w:t>
            </w:r>
            <w:proofErr w:type="spellStart"/>
            <w:r w:rsidRPr="008E540E">
              <w:rPr>
                <w:rFonts w:ascii="Roboto" w:hAnsi="Roboto" w:cs="Segoe UI"/>
              </w:rPr>
              <w:t>l'équivalent</w:t>
            </w:r>
            <w:proofErr w:type="spellEnd"/>
            <w:r w:rsidRPr="008E540E">
              <w:rPr>
                <w:rFonts w:ascii="Roboto" w:hAnsi="Roboto" w:cs="Segoe UI"/>
              </w:rPr>
              <w:t>)</w:t>
            </w:r>
          </w:p>
          <w:p w14:paraId="618F604D" w14:textId="77777777" w:rsidR="008E540E" w:rsidRPr="008E540E" w:rsidRDefault="008E540E" w:rsidP="008E540E">
            <w:pPr>
              <w:pStyle w:val="NormalWeb"/>
              <w:numPr>
                <w:ilvl w:val="0"/>
                <w:numId w:val="10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  <w:lang w:val="fr-CA"/>
              </w:rPr>
              <w:t xml:space="preserve">Physiologie ou anatomie humaine (p. ex. </w:t>
            </w:r>
            <w:r w:rsidRPr="008E540E">
              <w:rPr>
                <w:rFonts w:ascii="Roboto" w:hAnsi="Roboto" w:cs="Segoe UI"/>
              </w:rPr>
              <w:t xml:space="preserve">PSY2701 </w:t>
            </w:r>
            <w:proofErr w:type="spellStart"/>
            <w:r w:rsidRPr="008E540E">
              <w:rPr>
                <w:rFonts w:ascii="Roboto" w:hAnsi="Roboto" w:cs="Segoe UI"/>
              </w:rPr>
              <w:t>ou</w:t>
            </w:r>
            <w:proofErr w:type="spellEnd"/>
            <w:r w:rsidRPr="008E540E">
              <w:rPr>
                <w:rFonts w:ascii="Roboto" w:hAnsi="Roboto" w:cs="Segoe UI"/>
              </w:rPr>
              <w:t xml:space="preserve"> </w:t>
            </w:r>
            <w:proofErr w:type="spellStart"/>
            <w:r w:rsidRPr="008E540E">
              <w:rPr>
                <w:rFonts w:ascii="Roboto" w:hAnsi="Roboto" w:cs="Segoe UI"/>
              </w:rPr>
              <w:t>l'équivalent</w:t>
            </w:r>
            <w:proofErr w:type="spellEnd"/>
            <w:r w:rsidRPr="008E540E">
              <w:rPr>
                <w:rFonts w:ascii="Roboto" w:hAnsi="Roboto" w:cs="Segoe UI"/>
              </w:rPr>
              <w:t>)</w:t>
            </w:r>
          </w:p>
          <w:p w14:paraId="546E64EE" w14:textId="77777777" w:rsidR="008E540E" w:rsidRPr="008E540E" w:rsidRDefault="008E540E" w:rsidP="008E540E">
            <w:pPr>
              <w:pStyle w:val="NormalWeb"/>
              <w:numPr>
                <w:ilvl w:val="0"/>
                <w:numId w:val="10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  <w:lang w:val="fr-CA"/>
              </w:rPr>
              <w:t xml:space="preserve">Acoustique, analyse des sons ou de la parole (p. ex. </w:t>
            </w:r>
            <w:r w:rsidRPr="008E540E">
              <w:rPr>
                <w:rFonts w:ascii="Roboto" w:hAnsi="Roboto" w:cs="Segoe UI"/>
              </w:rPr>
              <w:t xml:space="preserve">HSS2525 </w:t>
            </w:r>
            <w:proofErr w:type="spellStart"/>
            <w:r w:rsidRPr="008E540E">
              <w:rPr>
                <w:rFonts w:ascii="Roboto" w:hAnsi="Roboto" w:cs="Segoe UI"/>
              </w:rPr>
              <w:t>ou</w:t>
            </w:r>
            <w:proofErr w:type="spellEnd"/>
            <w:r w:rsidRPr="008E540E">
              <w:rPr>
                <w:rFonts w:ascii="Roboto" w:hAnsi="Roboto" w:cs="Segoe UI"/>
              </w:rPr>
              <w:t xml:space="preserve"> </w:t>
            </w:r>
            <w:proofErr w:type="spellStart"/>
            <w:r w:rsidRPr="008E540E">
              <w:rPr>
                <w:rFonts w:ascii="Roboto" w:hAnsi="Roboto" w:cs="Segoe UI"/>
              </w:rPr>
              <w:t>l'équivalent</w:t>
            </w:r>
            <w:proofErr w:type="spellEnd"/>
            <w:r w:rsidRPr="008E540E">
              <w:rPr>
                <w:rFonts w:ascii="Roboto" w:hAnsi="Roboto" w:cs="Segoe UI"/>
              </w:rPr>
              <w:t>)</w:t>
            </w:r>
          </w:p>
          <w:p w14:paraId="2A22DB13" w14:textId="77777777" w:rsidR="008E540E" w:rsidRPr="008E540E" w:rsidRDefault="008E540E" w:rsidP="008E540E">
            <w:pPr>
              <w:pStyle w:val="NormalWeb"/>
              <w:numPr>
                <w:ilvl w:val="0"/>
                <w:numId w:val="10"/>
              </w:numPr>
              <w:rPr>
                <w:rFonts w:ascii="Roboto" w:hAnsi="Roboto" w:cs="Segoe UI"/>
                <w:lang w:val="fr-CA"/>
              </w:rPr>
            </w:pPr>
            <w:r w:rsidRPr="008E540E">
              <w:rPr>
                <w:rFonts w:ascii="Roboto" w:hAnsi="Roboto" w:cs="Segoe UI"/>
                <w:lang w:val="fr-CA"/>
              </w:rPr>
              <w:t>Psychologie dans un domaine pertinent (p. ex. développement de l'enfant, vieillissement, perception), comme PSY2505 ou l'équivalent</w:t>
            </w:r>
          </w:p>
          <w:p w14:paraId="163B2EDD" w14:textId="77777777" w:rsidR="008E540E" w:rsidRPr="008E540E" w:rsidRDefault="008E540E" w:rsidP="008E540E">
            <w:pPr>
              <w:pStyle w:val="NormalWeb"/>
              <w:numPr>
                <w:ilvl w:val="0"/>
                <w:numId w:val="10"/>
              </w:numPr>
              <w:rPr>
                <w:rFonts w:ascii="Roboto" w:hAnsi="Roboto" w:cs="Segoe UI"/>
              </w:rPr>
            </w:pPr>
            <w:r w:rsidRPr="008E540E">
              <w:rPr>
                <w:rFonts w:ascii="Roboto" w:hAnsi="Roboto" w:cs="Segoe UI"/>
                <w:lang w:val="fr-CA"/>
              </w:rPr>
              <w:t xml:space="preserve">Sciences linguistiques sur un sujet pertinent, de préférence en phonétique générale ou phonétique-phonologie (p. ex. </w:t>
            </w:r>
            <w:r w:rsidRPr="008E540E">
              <w:rPr>
                <w:rFonts w:ascii="Roboto" w:hAnsi="Roboto" w:cs="Segoe UI"/>
              </w:rPr>
              <w:t xml:space="preserve">LIN 2720 </w:t>
            </w:r>
            <w:proofErr w:type="spellStart"/>
            <w:r w:rsidRPr="008E540E">
              <w:rPr>
                <w:rFonts w:ascii="Roboto" w:hAnsi="Roboto" w:cs="Segoe UI"/>
              </w:rPr>
              <w:t>ou</w:t>
            </w:r>
            <w:proofErr w:type="spellEnd"/>
            <w:r w:rsidRPr="008E540E">
              <w:rPr>
                <w:rFonts w:ascii="Roboto" w:hAnsi="Roboto" w:cs="Segoe UI"/>
              </w:rPr>
              <w:t xml:space="preserve"> </w:t>
            </w:r>
            <w:proofErr w:type="spellStart"/>
            <w:r w:rsidRPr="008E540E">
              <w:rPr>
                <w:rFonts w:ascii="Roboto" w:hAnsi="Roboto" w:cs="Segoe UI"/>
              </w:rPr>
              <w:t>l'équivalent</w:t>
            </w:r>
            <w:proofErr w:type="spellEnd"/>
            <w:r w:rsidRPr="008E540E">
              <w:rPr>
                <w:rFonts w:ascii="Roboto" w:hAnsi="Roboto" w:cs="Segoe UI"/>
              </w:rPr>
              <w:t>)</w:t>
            </w:r>
          </w:p>
          <w:p w14:paraId="7034693D" w14:textId="61656898" w:rsidR="008E540E" w:rsidRPr="008E540E" w:rsidRDefault="008E540E" w:rsidP="000A24BC">
            <w:pPr>
              <w:pStyle w:val="NormalWeb"/>
              <w:rPr>
                <w:rFonts w:ascii="Segoe UI" w:hAnsi="Segoe UI" w:cs="Segoe UI"/>
                <w:lang w:val="fr-CA"/>
              </w:rPr>
            </w:pPr>
            <w:hyperlink r:id="rId7" w:tgtFrame="_blank" w:tooltip="Ouvre le site Web de l'Université d'Ottawa dans une nouvelle fenêtre" w:history="1">
              <w:r w:rsidRPr="008E540E">
                <w:rPr>
                  <w:rStyle w:val="Hyperlink"/>
                  <w:rFonts w:ascii="Roboto" w:hAnsi="Roboto" w:cs="Segoe UI"/>
                  <w:lang w:val="fr-CA"/>
                </w:rPr>
                <w:t>Liste d'équivalences de cours pour les préalables d'admission</w:t>
              </w:r>
            </w:hyperlink>
            <w:r w:rsidRPr="008E540E">
              <w:rPr>
                <w:rFonts w:ascii="Roboto" w:hAnsi="Roboto" w:cs="Segoe UI"/>
                <w:lang w:val="fr-CA"/>
              </w:rPr>
              <w:t>.</w:t>
            </w:r>
            <w:r w:rsidRPr="008E540E">
              <w:rPr>
                <w:rFonts w:ascii="Roboto" w:hAnsi="Roboto" w:cs="Segoe UI"/>
                <w:lang w:val="fr-CA"/>
              </w:rPr>
              <w:br/>
            </w:r>
            <w:r w:rsidRPr="008E540E">
              <w:rPr>
                <w:rFonts w:ascii="Roboto" w:hAnsi="Roboto" w:cs="Segoe UI"/>
                <w:lang w:val="fr-CA"/>
              </w:rPr>
              <w:br/>
              <w:t>Dans le cas d'un préalable en cours, prière d'indiquer « IPR » dans le champ « Note finale ».</w:t>
            </w:r>
          </w:p>
        </w:tc>
      </w:tr>
    </w:tbl>
    <w:p w14:paraId="182C8CA1" w14:textId="77777777" w:rsidR="008E540E" w:rsidRDefault="008E540E" w:rsidP="00DF1B83">
      <w:pPr>
        <w:rPr>
          <w:rFonts w:ascii="Roboto" w:hAnsi="Roboto"/>
          <w:color w:val="212529"/>
          <w:shd w:val="clear" w:color="auto" w:fill="E6E6E6"/>
        </w:rPr>
      </w:pPr>
    </w:p>
    <w:p w14:paraId="6AFFFB9D" w14:textId="42DE6AF6" w:rsidR="00DF1B83" w:rsidRDefault="008E540E" w:rsidP="00DF1B83">
      <w:pPr>
        <w:rPr>
          <w:rFonts w:ascii="Roboto" w:hAnsi="Roboto"/>
          <w:color w:val="212529"/>
          <w:shd w:val="clear" w:color="auto" w:fill="E6E6E6"/>
        </w:rPr>
      </w:pPr>
      <w:r>
        <w:rPr>
          <w:rFonts w:ascii="Roboto" w:hAnsi="Roboto"/>
          <w:color w:val="212529"/>
          <w:shd w:val="clear" w:color="auto" w:fill="E6E6E6"/>
        </w:rPr>
        <w:br w:type="page"/>
      </w:r>
      <w:proofErr w:type="gramStart"/>
      <w:r w:rsidR="00DF1B83">
        <w:rPr>
          <w:rFonts w:ascii="Roboto" w:hAnsi="Roboto"/>
          <w:color w:val="212529"/>
          <w:shd w:val="clear" w:color="auto" w:fill="E6E6E6"/>
        </w:rPr>
        <w:lastRenderedPageBreak/>
        <w:t>prefix:help</w:t>
      </w:r>
      <w:proofErr w:type="gramEnd"/>
      <w:r w:rsidR="00DF1B83">
        <w:rPr>
          <w:rFonts w:ascii="Roboto" w:hAnsi="Roboto"/>
          <w:color w:val="212529"/>
          <w:shd w:val="clear" w:color="auto" w:fill="E6E6E6"/>
        </w:rPr>
        <w:t>_</w:t>
      </w:r>
      <w:proofErr w:type="gramStart"/>
      <w:r w:rsidR="00DF1B83"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 w:rsidR="00DF1B83">
        <w:rPr>
          <w:rFonts w:ascii="Roboto" w:hAnsi="Roboto"/>
          <w:color w:val="212529"/>
          <w:shd w:val="clear" w:color="auto" w:fill="E6E6E6"/>
        </w:rPr>
        <w:t>_</w:t>
      </w:r>
      <w:proofErr w:type="gramStart"/>
      <w:r w:rsidR="00DF1B83"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 w:rsidR="00DF1B83">
        <w:rPr>
          <w:rFonts w:ascii="Roboto" w:hAnsi="Roboto"/>
          <w:color w:val="212529"/>
          <w:shd w:val="clear" w:color="auto" w:fill="E6E6E6"/>
        </w:rPr>
        <w:t>_</w:t>
      </w:r>
      <w:proofErr w:type="gramStart"/>
      <w:r w:rsidR="00DF1B83">
        <w:rPr>
          <w:rFonts w:ascii="Roboto" w:hAnsi="Roboto"/>
          <w:color w:val="212529"/>
          <w:shd w:val="clear" w:color="auto" w:fill="E6E6E6"/>
        </w:rPr>
        <w:t>subject:pageHelpottawoo</w:t>
      </w:r>
      <w:proofErr w:type="gramEnd"/>
      <w:r w:rsidR="00DF1B83">
        <w:rPr>
          <w:rFonts w:ascii="Roboto" w:hAnsi="Roboto"/>
          <w:color w:val="212529"/>
          <w:shd w:val="clear" w:color="auto" w:fill="E6E6E6"/>
        </w:rPr>
        <w:t>201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540E" w:rsidRPr="008E540E" w14:paraId="09688D96" w14:textId="77777777" w:rsidTr="008E540E">
        <w:tc>
          <w:tcPr>
            <w:tcW w:w="4675" w:type="dxa"/>
          </w:tcPr>
          <w:p w14:paraId="7653916B" w14:textId="6603BFC6" w:rsidR="008E540E" w:rsidRPr="008E540E" w:rsidRDefault="008E540E" w:rsidP="008E540E">
            <w:pPr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8E540E">
              <w:rPr>
                <w:rFonts w:ascii="Roboto" w:hAnsi="Roboto"/>
                <w:i/>
                <w:iCs/>
                <w:sz w:val="24"/>
                <w:szCs w:val="24"/>
                <w:highlight w:val="yellow"/>
              </w:rPr>
              <w:t xml:space="preserve">(No EN equivalent </w:t>
            </w:r>
            <w:proofErr w:type="gramStart"/>
            <w:r w:rsidRPr="008E540E">
              <w:rPr>
                <w:rFonts w:ascii="Roboto" w:hAnsi="Roboto"/>
                <w:i/>
                <w:iCs/>
                <w:sz w:val="24"/>
                <w:szCs w:val="24"/>
                <w:highlight w:val="yellow"/>
              </w:rPr>
              <w:t>at the moment</w:t>
            </w:r>
            <w:proofErr w:type="gramEnd"/>
            <w:r w:rsidRPr="008E540E">
              <w:rPr>
                <w:rFonts w:ascii="Roboto" w:hAnsi="Roboto"/>
                <w:i/>
                <w:iCs/>
                <w:sz w:val="24"/>
                <w:szCs w:val="24"/>
                <w:highlight w:val="yellow"/>
              </w:rPr>
              <w:t>, but I can add it in if you provide the text)</w:t>
            </w:r>
          </w:p>
        </w:tc>
        <w:tc>
          <w:tcPr>
            <w:tcW w:w="4675" w:type="dxa"/>
          </w:tcPr>
          <w:p w14:paraId="1EE8A3FA" w14:textId="77777777" w:rsidR="008E540E" w:rsidRPr="008E540E" w:rsidRDefault="008E540E" w:rsidP="008E5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shd w:val="clear" w:color="auto" w:fill="FFFFFF"/>
                <w:lang w:eastAsia="en-CA"/>
              </w:rPr>
              <w:t xml:space="preserve">Ottawa </w:t>
            </w:r>
            <w:proofErr w:type="spellStart"/>
            <w:proofErr w:type="gram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shd w:val="clear" w:color="auto" w:fill="FFFFFF"/>
                <w:lang w:eastAsia="en-CA"/>
              </w:rPr>
              <w:t>Ergothérapie</w:t>
            </w:r>
            <w:proofErr w:type="spell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shd w:val="clear" w:color="auto" w:fill="FFFFFF"/>
                <w:lang w:eastAsia="en-CA"/>
              </w:rPr>
              <w:t xml:space="preserve"> :</w:t>
            </w:r>
            <w:proofErr w:type="gram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</w:r>
          </w:p>
          <w:p w14:paraId="5DE77659" w14:textId="77777777" w:rsidR="008E540E" w:rsidRPr="008E540E" w:rsidRDefault="008E540E" w:rsidP="008E540E">
            <w:pPr>
              <w:numPr>
                <w:ilvl w:val="0"/>
                <w:numId w:val="15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  <w:t>3 crédits en anatomie du système locomoteur</w:t>
            </w:r>
          </w:p>
          <w:p w14:paraId="13B42DF2" w14:textId="77777777" w:rsidR="008E540E" w:rsidRPr="008E540E" w:rsidRDefault="008E540E" w:rsidP="008E540E">
            <w:pPr>
              <w:numPr>
                <w:ilvl w:val="0"/>
                <w:numId w:val="15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  <w:t>3 crédits en introduction à la psychologie</w:t>
            </w:r>
          </w:p>
          <w:p w14:paraId="025348D3" w14:textId="77777777" w:rsidR="008E540E" w:rsidRPr="008E540E" w:rsidRDefault="008E540E" w:rsidP="008E540E">
            <w:pPr>
              <w:numPr>
                <w:ilvl w:val="0"/>
                <w:numId w:val="15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3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crédits</w:t>
            </w:r>
            <w:proofErr w:type="spell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en</w:t>
            </w:r>
            <w:proofErr w:type="spell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psychologie</w:t>
            </w:r>
            <w:proofErr w:type="spell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 du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développement</w:t>
            </w:r>
            <w:proofErr w:type="spellEnd"/>
          </w:p>
          <w:p w14:paraId="501D8B10" w14:textId="77777777" w:rsidR="008E540E" w:rsidRPr="008E540E" w:rsidRDefault="008E540E" w:rsidP="008E540E">
            <w:pPr>
              <w:numPr>
                <w:ilvl w:val="0"/>
                <w:numId w:val="15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3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crédits</w:t>
            </w:r>
            <w:proofErr w:type="spell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en</w:t>
            </w:r>
            <w:proofErr w:type="spellEnd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statistiques</w:t>
            </w:r>
            <w:proofErr w:type="spellEnd"/>
          </w:p>
          <w:p w14:paraId="186CB870" w14:textId="77777777" w:rsidR="008E540E" w:rsidRPr="008E540E" w:rsidRDefault="008E540E" w:rsidP="008E540E">
            <w:pPr>
              <w:numPr>
                <w:ilvl w:val="0"/>
                <w:numId w:val="15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  <w:t>3 crédits en sociologie ou en philosophie ou en anthropologie</w:t>
            </w:r>
          </w:p>
          <w:p w14:paraId="1DEC6014" w14:textId="77777777" w:rsidR="008E540E" w:rsidRPr="008E540E" w:rsidRDefault="008E540E" w:rsidP="008E540E">
            <w:pPr>
              <w:shd w:val="clear" w:color="auto" w:fill="FFFFFF"/>
              <w:spacing w:after="2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  <w:t>Les préalables doivent avoir été réussis dans les 6 années précédant la demande d'admission.</w:t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  <w:br/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val="fr-CA" w:eastAsia="en-CA"/>
              </w:rPr>
              <w:br/>
              <w:t>Dans le cas d'un préalable en cours, prière d'indiquer « IPR » dans le champ « Note finale ».</w:t>
            </w:r>
          </w:p>
          <w:p w14:paraId="7EFEA0B7" w14:textId="77777777" w:rsidR="008E540E" w:rsidRPr="008E540E" w:rsidRDefault="008E540E" w:rsidP="00DF1B83">
            <w:pPr>
              <w:rPr>
                <w:rFonts w:ascii="Roboto" w:hAnsi="Roboto"/>
                <w:color w:val="212529"/>
                <w:shd w:val="clear" w:color="auto" w:fill="E6E6E6"/>
                <w:lang w:val="fr-CA"/>
              </w:rPr>
            </w:pPr>
          </w:p>
        </w:tc>
      </w:tr>
    </w:tbl>
    <w:p w14:paraId="51F980FA" w14:textId="69BA3CCD" w:rsidR="008E540E" w:rsidRDefault="008E540E">
      <w:pPr>
        <w:rPr>
          <w:lang w:val="fr-FR"/>
        </w:rPr>
      </w:pPr>
      <w:r>
        <w:rPr>
          <w:lang w:val="fr-FR"/>
        </w:rPr>
        <w:br w:type="page"/>
      </w:r>
    </w:p>
    <w:p w14:paraId="258452AD" w14:textId="365FFA41" w:rsidR="00DF1B83" w:rsidRDefault="00DF1B83" w:rsidP="00DF1B83">
      <w:pPr>
        <w:rPr>
          <w:rFonts w:ascii="Roboto" w:hAnsi="Roboto"/>
          <w:color w:val="212529"/>
          <w:shd w:val="clear" w:color="auto" w:fill="E6E6E6"/>
        </w:rPr>
      </w:pPr>
      <w:proofErr w:type="gramStart"/>
      <w:r>
        <w:rPr>
          <w:rFonts w:ascii="Roboto" w:hAnsi="Roboto"/>
          <w:color w:val="212529"/>
          <w:shd w:val="clear" w:color="auto" w:fill="E6E6E6"/>
        </w:rPr>
        <w:lastRenderedPageBreak/>
        <w:t>prefix:help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subject:pageHelpottawol</w:t>
      </w:r>
      <w:proofErr w:type="gramEnd"/>
      <w:r>
        <w:rPr>
          <w:rFonts w:ascii="Roboto" w:hAnsi="Roboto"/>
          <w:color w:val="212529"/>
          <w:shd w:val="clear" w:color="auto" w:fill="E6E6E6"/>
        </w:rPr>
        <w:t>201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540E" w:rsidRPr="008E540E" w14:paraId="62D9CCEA" w14:textId="77777777" w:rsidTr="008E540E">
        <w:tc>
          <w:tcPr>
            <w:tcW w:w="4675" w:type="dxa"/>
          </w:tcPr>
          <w:p w14:paraId="70E48B93" w14:textId="77777777" w:rsidR="008E540E" w:rsidRPr="008E540E" w:rsidRDefault="008E540E" w:rsidP="008E540E">
            <w:pPr>
              <w:shd w:val="clear" w:color="auto" w:fill="FFFFFF"/>
              <w:spacing w:after="2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Ottawa Speech-Language Pathology:</w:t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  <w:t>Have obtained 3 university (1 half-year course) units in each of the following subjects:</w:t>
            </w:r>
          </w:p>
          <w:p w14:paraId="0ACB75D3" w14:textId="77777777" w:rsidR="008E540E" w:rsidRPr="008E540E" w:rsidRDefault="008E540E" w:rsidP="008E540E">
            <w:pPr>
              <w:numPr>
                <w:ilvl w:val="0"/>
                <w:numId w:val="11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Statistics or quantitative research methods at the intermediate level (e.g., PSY2516 or the equivalent)</w:t>
            </w:r>
          </w:p>
          <w:p w14:paraId="3A73D706" w14:textId="77777777" w:rsidR="008E540E" w:rsidRPr="008E540E" w:rsidRDefault="008E540E" w:rsidP="008E540E">
            <w:pPr>
              <w:numPr>
                <w:ilvl w:val="0"/>
                <w:numId w:val="11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Human physiology or anatomy (e.g., PSY2701 or the equivalent)</w:t>
            </w:r>
          </w:p>
          <w:p w14:paraId="090CE3F0" w14:textId="77777777" w:rsidR="008E540E" w:rsidRPr="008E540E" w:rsidRDefault="008E540E" w:rsidP="008E540E">
            <w:pPr>
              <w:numPr>
                <w:ilvl w:val="0"/>
                <w:numId w:val="11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Acoustics or sound/speech analysis (e.g., HSS2525 or the equivalent)</w:t>
            </w:r>
          </w:p>
          <w:p w14:paraId="4E913119" w14:textId="77777777" w:rsidR="008E540E" w:rsidRPr="008E540E" w:rsidRDefault="008E540E" w:rsidP="008E540E">
            <w:pPr>
              <w:numPr>
                <w:ilvl w:val="0"/>
                <w:numId w:val="11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Psychology of child development or psychology of normal development across the lifespan (e.g., PSY2505 or PSY2514 or the equivalent)</w:t>
            </w:r>
          </w:p>
          <w:p w14:paraId="33156DCA" w14:textId="77777777" w:rsidR="008E540E" w:rsidRPr="008E540E" w:rsidRDefault="008E540E" w:rsidP="008E540E">
            <w:pPr>
              <w:shd w:val="clear" w:color="auto" w:fill="FFFFFF"/>
              <w:spacing w:after="2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Have also completed 9 university units in linguistics, including:</w:t>
            </w:r>
          </w:p>
          <w:p w14:paraId="5821B2D3" w14:textId="77777777" w:rsidR="008E540E" w:rsidRPr="008E540E" w:rsidRDefault="008E540E" w:rsidP="008E540E">
            <w:pPr>
              <w:numPr>
                <w:ilvl w:val="0"/>
                <w:numId w:val="12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3 units (1 half-year course) in general phonetics or phonetics/phonology (e.g., LIN2720 or the equivalent)</w:t>
            </w:r>
          </w:p>
          <w:p w14:paraId="1FD63DB1" w14:textId="77777777" w:rsidR="008E540E" w:rsidRPr="008E540E" w:rsidRDefault="008E540E" w:rsidP="008E540E">
            <w:pPr>
              <w:numPr>
                <w:ilvl w:val="0"/>
                <w:numId w:val="12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3 units (1 half-year course) in syntax or morphology or morphosyntax (e.g., LIN2710 or LIN3728 or the equivalent)</w:t>
            </w:r>
          </w:p>
          <w:p w14:paraId="79097E7F" w14:textId="77777777" w:rsidR="008E540E" w:rsidRPr="008E540E" w:rsidRDefault="008E540E" w:rsidP="008E540E">
            <w:pPr>
              <w:numPr>
                <w:ilvl w:val="0"/>
                <w:numId w:val="12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 xml:space="preserve">3 relevant units (1 half-year course) at an advanced undergraduate level in linguistics, preferably in semantics, language acquisition, bilingualism, neurolinguistics or psycholinguistics (e.g., </w:t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lastRenderedPageBreak/>
              <w:t>PSY3715 or PSY3720 or the equivalent)</w:t>
            </w:r>
          </w:p>
          <w:p w14:paraId="6649CED6" w14:textId="77777777" w:rsidR="008E540E" w:rsidRPr="008E540E" w:rsidRDefault="008E540E" w:rsidP="008E540E">
            <w:p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</w:p>
          <w:p w14:paraId="24DC5BF7" w14:textId="7C46CE1C" w:rsidR="008E540E" w:rsidRDefault="008E540E" w:rsidP="008E540E">
            <w:pPr>
              <w:rPr>
                <w:rFonts w:ascii="Roboto" w:hAnsi="Roboto"/>
                <w:color w:val="212529"/>
                <w:shd w:val="clear" w:color="auto" w:fill="E6E6E6"/>
              </w:rPr>
            </w:pPr>
            <w:hyperlink r:id="rId8" w:tgtFrame="_blank" w:history="1">
              <w:r w:rsidRPr="008E540E">
                <w:rPr>
                  <w:rFonts w:ascii="Roboto" w:eastAsia="Times New Roman" w:hAnsi="Roboto" w:cs="Times New Roman"/>
                  <w:color w:val="FFFFFF"/>
                  <w:sz w:val="24"/>
                  <w:szCs w:val="24"/>
                  <w:u w:val="single"/>
                  <w:shd w:val="clear" w:color="auto" w:fill="F0BF5B"/>
                  <w:lang w:eastAsia="en-CA"/>
                </w:rPr>
                <w:t>List of accepted course equivalencies</w:t>
              </w:r>
            </w:hyperlink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shd w:val="clear" w:color="auto" w:fill="FFFFFF"/>
                <w:lang w:eastAsia="en-CA"/>
              </w:rPr>
              <w:t>For courses in progress, enter "IPR" as the grade.</w:t>
            </w:r>
          </w:p>
        </w:tc>
        <w:tc>
          <w:tcPr>
            <w:tcW w:w="4675" w:type="dxa"/>
          </w:tcPr>
          <w:p w14:paraId="04EC4996" w14:textId="77777777" w:rsidR="008E540E" w:rsidRPr="008E540E" w:rsidRDefault="008E540E" w:rsidP="008E540E">
            <w:p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lastRenderedPageBreak/>
              <w:t>Ottawa Orthophonie :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  <w:t>Avoir obtenu 3 crédits universitaires (1 cours semestriel) dans chacune des matières suivantes :</w:t>
            </w:r>
          </w:p>
          <w:p w14:paraId="77CFAE78" w14:textId="77777777" w:rsidR="008E540E" w:rsidRPr="008E540E" w:rsidRDefault="008E540E" w:rsidP="008E54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Statistiques ou en méthodes de recherche quantitatives de niveau intermédiaire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PSY2516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75652D86" w14:textId="77777777" w:rsidR="008E540E" w:rsidRPr="008E540E" w:rsidRDefault="008E540E" w:rsidP="008E54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Physiologie ou en anatomie humaine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PSY2701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4590584D" w14:textId="77777777" w:rsidR="008E540E" w:rsidRPr="008E540E" w:rsidRDefault="008E540E" w:rsidP="008E54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Acoustique, ou en analyse des sons ou de la parole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HSS2525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4D986E18" w14:textId="77777777" w:rsidR="008E540E" w:rsidRPr="008E540E" w:rsidRDefault="008E540E" w:rsidP="008E540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Psychologie du développement de l'enfant ou en psychologie du développement normal au cours de la vie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PSY2505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PSY2514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6BC46CAD" w14:textId="77777777" w:rsidR="008E540E" w:rsidRPr="008E540E" w:rsidRDefault="008E540E" w:rsidP="008E540E">
            <w:p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>Avoir obtenu 9 crédits universitaires en sciences linguistiques, comprenant:</w:t>
            </w:r>
          </w:p>
          <w:p w14:paraId="698A2082" w14:textId="77777777" w:rsidR="008E540E" w:rsidRPr="008E540E" w:rsidRDefault="008E540E" w:rsidP="008E540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3 crédits (1 cours semestriel) en phonétique générale ou en phonétique-phonologie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LIN 2720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730DF836" w14:textId="77777777" w:rsidR="008E540E" w:rsidRPr="008E540E" w:rsidRDefault="008E540E" w:rsidP="008E540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3 crédits (1 cours semestriel) en syntaxe ou en morphologie ou en morphosyntaxe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LIN2710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LIN3728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79F8196A" w14:textId="77777777" w:rsidR="008E540E" w:rsidRPr="008E540E" w:rsidRDefault="008E540E" w:rsidP="008E540E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3 crédits (1 cours semestriel) pertinents de niveau avancé au premier cycle en linguistique, de préférence en sémantique, acquisition du langage, bilinguisme, neurolinguistique ou psycholinguistique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PSY3715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PSY3720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3DF3E3A1" w14:textId="77777777" w:rsidR="008E540E" w:rsidRPr="008E540E" w:rsidRDefault="008E540E" w:rsidP="008E540E">
            <w:pPr>
              <w:spacing w:before="100" w:beforeAutospacing="1" w:after="100" w:afterAutospacing="1"/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</w:pPr>
            <w:hyperlink r:id="rId9" w:tgtFrame="_blank" w:tooltip="Ouvre le site Web de l'Université d'Ottawa dans une nouvelle fenêtre" w:history="1">
              <w:r w:rsidRPr="008E540E">
                <w:rPr>
                  <w:rFonts w:ascii="Roboto" w:eastAsia="Times New Roman" w:hAnsi="Roboto" w:cs="Segoe UI"/>
                  <w:color w:val="0000FF"/>
                  <w:sz w:val="24"/>
                  <w:szCs w:val="24"/>
                  <w:u w:val="single"/>
                  <w:lang w:val="fr-CA" w:eastAsia="en-CA"/>
                </w:rPr>
                <w:t>Liste d'équivalences de cours pour les préalables d'admission</w:t>
              </w:r>
            </w:hyperlink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>.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  <w:t>Dans le cas d'un préalable en cours, prière d'indiquer « IPR » dans le champ « Note finale ».</w:t>
            </w:r>
          </w:p>
          <w:p w14:paraId="34C0C888" w14:textId="77777777" w:rsidR="008E540E" w:rsidRPr="008E540E" w:rsidRDefault="008E540E" w:rsidP="00DF1B83">
            <w:pPr>
              <w:rPr>
                <w:rFonts w:ascii="Roboto" w:hAnsi="Roboto"/>
                <w:color w:val="212529"/>
                <w:shd w:val="clear" w:color="auto" w:fill="E6E6E6"/>
                <w:lang w:val="fr-CA"/>
              </w:rPr>
            </w:pPr>
          </w:p>
        </w:tc>
      </w:tr>
    </w:tbl>
    <w:p w14:paraId="4705959F" w14:textId="77777777" w:rsidR="008E540E" w:rsidRPr="008E540E" w:rsidRDefault="008E540E" w:rsidP="00DF1B83">
      <w:pPr>
        <w:rPr>
          <w:rFonts w:ascii="Roboto" w:hAnsi="Roboto"/>
          <w:color w:val="212529"/>
          <w:shd w:val="clear" w:color="auto" w:fill="E6E6E6"/>
          <w:lang w:val="fr-CA"/>
        </w:rPr>
      </w:pPr>
    </w:p>
    <w:p w14:paraId="6DE4978D" w14:textId="7596F59B" w:rsidR="008E540E" w:rsidRDefault="008E540E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br w:type="page"/>
      </w:r>
    </w:p>
    <w:p w14:paraId="2E7FCF70" w14:textId="13097BF1" w:rsidR="00DF1B83" w:rsidRDefault="00DF1B83" w:rsidP="008E540E">
      <w:pPr>
        <w:rPr>
          <w:rFonts w:ascii="Roboto" w:hAnsi="Roboto"/>
          <w:color w:val="212529"/>
          <w:shd w:val="clear" w:color="auto" w:fill="E6E6E6"/>
        </w:rPr>
      </w:pPr>
      <w:proofErr w:type="gramStart"/>
      <w:r>
        <w:rPr>
          <w:rFonts w:ascii="Roboto" w:hAnsi="Roboto"/>
          <w:color w:val="212529"/>
          <w:shd w:val="clear" w:color="auto" w:fill="E6E6E6"/>
        </w:rPr>
        <w:lastRenderedPageBreak/>
        <w:t>prefix:help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controller:prerequisite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action:index</w:t>
      </w:r>
      <w:proofErr w:type="gramEnd"/>
      <w:r>
        <w:rPr>
          <w:rFonts w:ascii="Roboto" w:hAnsi="Roboto"/>
          <w:color w:val="212529"/>
          <w:shd w:val="clear" w:color="auto" w:fill="E6E6E6"/>
        </w:rPr>
        <w:t>_</w:t>
      </w:r>
      <w:proofErr w:type="gramStart"/>
      <w:r>
        <w:rPr>
          <w:rFonts w:ascii="Roboto" w:hAnsi="Roboto"/>
          <w:color w:val="212529"/>
          <w:shd w:val="clear" w:color="auto" w:fill="E6E6E6"/>
        </w:rPr>
        <w:t>subject:pageHelpottawop</w:t>
      </w:r>
      <w:proofErr w:type="gramEnd"/>
      <w:r>
        <w:rPr>
          <w:rFonts w:ascii="Roboto" w:hAnsi="Roboto"/>
          <w:color w:val="212529"/>
          <w:shd w:val="clear" w:color="auto" w:fill="E6E6E6"/>
        </w:rPr>
        <w:t>201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540E" w:rsidRPr="008E540E" w14:paraId="06B050E6" w14:textId="77777777" w:rsidTr="008E540E">
        <w:tc>
          <w:tcPr>
            <w:tcW w:w="4675" w:type="dxa"/>
          </w:tcPr>
          <w:p w14:paraId="5D851E58" w14:textId="77777777" w:rsidR="008E540E" w:rsidRPr="008E540E" w:rsidRDefault="008E540E" w:rsidP="008E540E">
            <w:pPr>
              <w:shd w:val="clear" w:color="auto" w:fill="FFFFFF"/>
              <w:spacing w:after="2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Ottawa Physiotherapy:</w:t>
            </w:r>
          </w:p>
          <w:p w14:paraId="56EA0AC8" w14:textId="77777777" w:rsidR="008E540E" w:rsidRPr="008E540E" w:rsidRDefault="008E540E" w:rsidP="008E540E">
            <w:pPr>
              <w:shd w:val="clear" w:color="auto" w:fill="FFFFFF"/>
              <w:spacing w:after="2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Have obtained 3 university units (1 half-year course) in each of the following subjects:</w:t>
            </w:r>
          </w:p>
          <w:p w14:paraId="6BAC7B50" w14:textId="77777777" w:rsidR="008E540E" w:rsidRPr="008E540E" w:rsidRDefault="008E540E" w:rsidP="008E540E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General anatomy or human physiology (e.g., ANP1505/1105 or the equivalent)</w:t>
            </w:r>
          </w:p>
          <w:p w14:paraId="5303920A" w14:textId="77777777" w:rsidR="008E540E" w:rsidRPr="008E540E" w:rsidRDefault="008E540E" w:rsidP="008E540E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Musculoskeletal anatomy (e.g., ANP1506/1106 or the equivalent)</w:t>
            </w:r>
          </w:p>
          <w:p w14:paraId="4B066BB7" w14:textId="77777777" w:rsidR="008E540E" w:rsidRPr="008E540E" w:rsidRDefault="008E540E" w:rsidP="008E540E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Human psychology (e.g., PSY1501/1101 or the equivalent)</w:t>
            </w:r>
          </w:p>
          <w:p w14:paraId="505F1C67" w14:textId="77777777" w:rsidR="008E540E" w:rsidRPr="008E540E" w:rsidRDefault="008E540E" w:rsidP="008E540E">
            <w:pPr>
              <w:numPr>
                <w:ilvl w:val="0"/>
                <w:numId w:val="16"/>
              </w:numPr>
              <w:shd w:val="clear" w:color="auto" w:fill="FFFFFF"/>
              <w:ind w:left="14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Research methodology or statistics (e.g., HSS2781/2381 or the equivalent)</w:t>
            </w:r>
          </w:p>
          <w:p w14:paraId="6BD17BD9" w14:textId="77777777" w:rsidR="008E540E" w:rsidRPr="008E540E" w:rsidRDefault="008E540E" w:rsidP="008E540E">
            <w:pPr>
              <w:shd w:val="clear" w:color="auto" w:fill="FFFFFF"/>
              <w:spacing w:after="240"/>
              <w:textAlignment w:val="baseline"/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</w:pPr>
            <w:hyperlink r:id="rId10" w:tgtFrame="_blank" w:tooltip="Opens in a new window" w:history="1">
              <w:r w:rsidRPr="008E540E">
                <w:rPr>
                  <w:rFonts w:ascii="Roboto" w:eastAsia="Times New Roman" w:hAnsi="Roboto" w:cs="Times New Roman"/>
                  <w:color w:val="FFFFFF"/>
                  <w:sz w:val="24"/>
                  <w:szCs w:val="24"/>
                  <w:u w:val="single"/>
                  <w:shd w:val="clear" w:color="auto" w:fill="F0BF5B"/>
                  <w:lang w:eastAsia="en-CA"/>
                </w:rPr>
                <w:t>List of accepted course equivalencies</w:t>
              </w:r>
            </w:hyperlink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t>.</w:t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</w:r>
            <w:r w:rsidRPr="008E540E">
              <w:rPr>
                <w:rFonts w:ascii="Roboto" w:eastAsia="Times New Roman" w:hAnsi="Roboto" w:cs="Times New Roman"/>
                <w:color w:val="3A3A3A"/>
                <w:sz w:val="24"/>
                <w:szCs w:val="24"/>
                <w:lang w:eastAsia="en-CA"/>
              </w:rPr>
              <w:br/>
              <w:t>For courses in progress, enter "IPR" as the grade.</w:t>
            </w:r>
          </w:p>
          <w:p w14:paraId="47402B23" w14:textId="77777777" w:rsidR="008E540E" w:rsidRDefault="008E540E" w:rsidP="008E540E">
            <w:pPr>
              <w:rPr>
                <w:rFonts w:ascii="Segoe UI" w:eastAsia="Times New Roman" w:hAnsi="Segoe UI" w:cs="Segoe UI"/>
                <w:sz w:val="26"/>
                <w:szCs w:val="26"/>
                <w:lang w:eastAsia="en-CA"/>
              </w:rPr>
            </w:pPr>
          </w:p>
        </w:tc>
        <w:tc>
          <w:tcPr>
            <w:tcW w:w="4675" w:type="dxa"/>
          </w:tcPr>
          <w:p w14:paraId="16E87096" w14:textId="0452408E" w:rsidR="008E540E" w:rsidRPr="008E540E" w:rsidRDefault="008E540E" w:rsidP="008E540E">
            <w:pPr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>Ottawa Physiothérapie :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  <w:t>Avoir obtenu 3 crédits universitaires (1 cours semestriel) dans chacune des matières suivantes:</w:t>
            </w:r>
            <w:r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</w:r>
          </w:p>
          <w:p w14:paraId="6E33F5A5" w14:textId="77777777" w:rsidR="008E540E" w:rsidRPr="008E540E" w:rsidRDefault="008E540E" w:rsidP="008E540E">
            <w:pPr>
              <w:numPr>
                <w:ilvl w:val="0"/>
                <w:numId w:val="17"/>
              </w:numPr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Anatomie générale ou physiologie humaine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ANP 1505/1105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5A639BE6" w14:textId="77777777" w:rsidR="008E540E" w:rsidRPr="008E540E" w:rsidRDefault="008E540E" w:rsidP="008E540E">
            <w:pPr>
              <w:numPr>
                <w:ilvl w:val="0"/>
                <w:numId w:val="17"/>
              </w:numPr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Anatomie du système locomoteur (p. 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ANP 1506/1106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</w:p>
          <w:p w14:paraId="3A60A231" w14:textId="77777777" w:rsidR="008E540E" w:rsidRPr="008E540E" w:rsidRDefault="008E540E" w:rsidP="008E540E">
            <w:pPr>
              <w:numPr>
                <w:ilvl w:val="0"/>
                <w:numId w:val="17"/>
              </w:numPr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>Psychologie humaine (p. ex. PSY 1501/1101 ou l'équivalent)</w:t>
            </w:r>
          </w:p>
          <w:p w14:paraId="283B1143" w14:textId="62832DCC" w:rsidR="008E540E" w:rsidRPr="008E540E" w:rsidRDefault="008E540E" w:rsidP="008E540E">
            <w:pPr>
              <w:numPr>
                <w:ilvl w:val="0"/>
                <w:numId w:val="17"/>
              </w:numPr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</w:pP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 xml:space="preserve">Méthodologie de la recherche ou statistiques (p. ex. 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HSS 2781/2381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ou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l'équivalent</w:t>
            </w:r>
            <w:proofErr w:type="spellEnd"/>
            <w:r w:rsidRPr="008E540E"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t>)</w:t>
            </w:r>
            <w:r>
              <w:rPr>
                <w:rFonts w:ascii="Roboto" w:eastAsia="Times New Roman" w:hAnsi="Roboto" w:cs="Segoe UI"/>
                <w:sz w:val="24"/>
                <w:szCs w:val="24"/>
                <w:lang w:eastAsia="en-CA"/>
              </w:rPr>
              <w:br/>
            </w:r>
          </w:p>
          <w:p w14:paraId="7D11FA8C" w14:textId="77777777" w:rsidR="008E540E" w:rsidRPr="008E540E" w:rsidRDefault="008E540E" w:rsidP="008E540E">
            <w:pPr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</w:pPr>
            <w:hyperlink r:id="rId11" w:tgtFrame="_blank" w:tooltip="Ouvre le site Web de l'Université d'Ottawa dans une nouvelle fenêtre" w:history="1">
              <w:r w:rsidRPr="008E540E">
                <w:rPr>
                  <w:rStyle w:val="Hyperlink"/>
                  <w:rFonts w:ascii="Roboto" w:eastAsia="Times New Roman" w:hAnsi="Roboto" w:cs="Segoe UI"/>
                  <w:sz w:val="24"/>
                  <w:szCs w:val="24"/>
                  <w:lang w:val="fr-CA" w:eastAsia="en-CA"/>
                </w:rPr>
                <w:t>Liste d'équivalences de cours pour les préalables d'admission</w:t>
              </w:r>
            </w:hyperlink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t>.</w:t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</w:r>
            <w:r w:rsidRPr="008E540E">
              <w:rPr>
                <w:rFonts w:ascii="Roboto" w:eastAsia="Times New Roman" w:hAnsi="Roboto" w:cs="Segoe UI"/>
                <w:sz w:val="24"/>
                <w:szCs w:val="24"/>
                <w:lang w:val="fr-CA" w:eastAsia="en-CA"/>
              </w:rPr>
              <w:br/>
              <w:t>Dans le cas d'un préalable en cours, prière d'indiquer « IPR » dans le champ « Note finale ».</w:t>
            </w:r>
          </w:p>
          <w:p w14:paraId="03C3B982" w14:textId="77777777" w:rsidR="008E540E" w:rsidRPr="008E540E" w:rsidRDefault="008E540E" w:rsidP="008E540E">
            <w:pPr>
              <w:rPr>
                <w:rFonts w:ascii="Segoe UI" w:eastAsia="Times New Roman" w:hAnsi="Segoe UI" w:cs="Segoe UI"/>
                <w:sz w:val="26"/>
                <w:szCs w:val="26"/>
                <w:lang w:val="fr-CA" w:eastAsia="en-CA"/>
              </w:rPr>
            </w:pPr>
          </w:p>
        </w:tc>
      </w:tr>
    </w:tbl>
    <w:p w14:paraId="413BA0EB" w14:textId="5D80DD60" w:rsidR="00DF1B83" w:rsidRPr="000A24BC" w:rsidRDefault="00DF1B83" w:rsidP="003C33D3">
      <w:pPr>
        <w:pStyle w:val="NormalWeb"/>
        <w:rPr>
          <w:lang w:val="fr-CA"/>
        </w:rPr>
      </w:pPr>
    </w:p>
    <w:sectPr w:rsidR="00DF1B83" w:rsidRPr="000A24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B6F"/>
    <w:multiLevelType w:val="multilevel"/>
    <w:tmpl w:val="EBE4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D662D"/>
    <w:multiLevelType w:val="multilevel"/>
    <w:tmpl w:val="2B6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20974"/>
    <w:multiLevelType w:val="multilevel"/>
    <w:tmpl w:val="BCF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0C35"/>
    <w:multiLevelType w:val="multilevel"/>
    <w:tmpl w:val="07E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C556B"/>
    <w:multiLevelType w:val="multilevel"/>
    <w:tmpl w:val="5D6E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32C5D"/>
    <w:multiLevelType w:val="multilevel"/>
    <w:tmpl w:val="6EC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0D0E79"/>
    <w:multiLevelType w:val="multilevel"/>
    <w:tmpl w:val="D85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90AEA"/>
    <w:multiLevelType w:val="multilevel"/>
    <w:tmpl w:val="C73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D3DEE"/>
    <w:multiLevelType w:val="multilevel"/>
    <w:tmpl w:val="3E4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87B65"/>
    <w:multiLevelType w:val="multilevel"/>
    <w:tmpl w:val="2C48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3056F"/>
    <w:multiLevelType w:val="multilevel"/>
    <w:tmpl w:val="5A98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30872"/>
    <w:multiLevelType w:val="multilevel"/>
    <w:tmpl w:val="66F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72069"/>
    <w:multiLevelType w:val="multilevel"/>
    <w:tmpl w:val="432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102A63"/>
    <w:multiLevelType w:val="multilevel"/>
    <w:tmpl w:val="8C2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27D71"/>
    <w:multiLevelType w:val="multilevel"/>
    <w:tmpl w:val="67B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533D59"/>
    <w:multiLevelType w:val="multilevel"/>
    <w:tmpl w:val="6B4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1835BA"/>
    <w:multiLevelType w:val="multilevel"/>
    <w:tmpl w:val="D5FA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739441">
    <w:abstractNumId w:val="10"/>
  </w:num>
  <w:num w:numId="2" w16cid:durableId="294529500">
    <w:abstractNumId w:val="0"/>
  </w:num>
  <w:num w:numId="3" w16cid:durableId="341208050">
    <w:abstractNumId w:val="16"/>
  </w:num>
  <w:num w:numId="4" w16cid:durableId="1934900534">
    <w:abstractNumId w:val="11"/>
  </w:num>
  <w:num w:numId="5" w16cid:durableId="46034086">
    <w:abstractNumId w:val="4"/>
  </w:num>
  <w:num w:numId="6" w16cid:durableId="382877087">
    <w:abstractNumId w:val="9"/>
  </w:num>
  <w:num w:numId="7" w16cid:durableId="786588525">
    <w:abstractNumId w:val="7"/>
  </w:num>
  <w:num w:numId="8" w16cid:durableId="24446998">
    <w:abstractNumId w:val="8"/>
  </w:num>
  <w:num w:numId="9" w16cid:durableId="939992621">
    <w:abstractNumId w:val="15"/>
  </w:num>
  <w:num w:numId="10" w16cid:durableId="617417413">
    <w:abstractNumId w:val="2"/>
  </w:num>
  <w:num w:numId="11" w16cid:durableId="185019220">
    <w:abstractNumId w:val="12"/>
  </w:num>
  <w:num w:numId="12" w16cid:durableId="1098141359">
    <w:abstractNumId w:val="14"/>
  </w:num>
  <w:num w:numId="13" w16cid:durableId="1199244346">
    <w:abstractNumId w:val="1"/>
  </w:num>
  <w:num w:numId="14" w16cid:durableId="1447773178">
    <w:abstractNumId w:val="6"/>
  </w:num>
  <w:num w:numId="15" w16cid:durableId="545416735">
    <w:abstractNumId w:val="3"/>
  </w:num>
  <w:num w:numId="16" w16cid:durableId="2090273394">
    <w:abstractNumId w:val="5"/>
  </w:num>
  <w:num w:numId="17" w16cid:durableId="1566909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83"/>
    <w:rsid w:val="000A24BC"/>
    <w:rsid w:val="003C33D3"/>
    <w:rsid w:val="00716DEF"/>
    <w:rsid w:val="008E0C79"/>
    <w:rsid w:val="008E540E"/>
    <w:rsid w:val="00B63161"/>
    <w:rsid w:val="00BB2CB1"/>
    <w:rsid w:val="00D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69B0"/>
  <w15:chartTrackingRefBased/>
  <w15:docId w15:val="{2301A255-F178-4007-8F66-58935169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B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DF1B83"/>
    <w:pPr>
      <w:spacing w:after="0" w:line="240" w:lineRule="auto"/>
    </w:pPr>
  </w:style>
  <w:style w:type="table" w:styleId="TableGrid">
    <w:name w:val="Table Grid"/>
    <w:basedOn w:val="TableNormal"/>
    <w:uiPriority w:val="39"/>
    <w:rsid w:val="008E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ttawa.ca/faculty-health-sciences/rehabilitation/our-programs/master-of-health-sciences-speech-language-pathology-mhsc/course-equivalencies-prerequisi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ottawa.ca/faculte-sciences-sante/readaptation/nos-programmes/maitrise-es-sciences-de-la-sante-audiologie-mscs/equivalences-cours-prealabl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ottawa.ca/faculty-health-sciences/rehabilitation/our-programs/master-of-health-sciences-audiology-mhsc/course-equivalencies-prerequisites" TargetMode="External"/><Relationship Id="rId11" Type="http://schemas.openxmlformats.org/officeDocument/2006/relationships/hyperlink" Target="https://www.uottawa.ca/faculte-sciences-sante/readaptation/nos-programmes/maitrise-es-sciences-de-la-sante-physiotherapie-mscs/equivalences-cours-prealabl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ottawa.ca/faculty-health-sciences/rehabilitation/our-programs/master-of-health-sciences-physiotherapy-mhsc/course-equivalencies-prerequisi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ttawa.ca/faculte-sciences-sante/readaptation/nos-programmes/maitrise-es-sciences-de-la-sante-orthophonie-mscs/equivalences-cours-preal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DB3E-6564-4C12-BE32-81493B77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965</Words>
  <Characters>6109</Characters>
  <Application>Microsoft Office Word</Application>
  <DocSecurity>0</DocSecurity>
  <Lines>165</Lines>
  <Paragraphs>104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Khalila Sawyer</dc:creator>
  <cp:keywords/>
  <dc:description/>
  <cp:lastModifiedBy>Khalila Sawyer</cp:lastModifiedBy>
  <cp:revision>7</cp:revision>
  <dcterms:created xsi:type="dcterms:W3CDTF">2023-03-28T15:56:00Z</dcterms:created>
  <dcterms:modified xsi:type="dcterms:W3CDTF">2026-02-10T18:51:00Z</dcterms:modified>
</cp:coreProperties>
</file>