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34B3" w14:textId="61A4356A" w:rsidR="00F57424" w:rsidRDefault="00FC1329">
      <w:pPr>
        <w:rPr>
          <w:rFonts w:ascii="Roboto" w:hAnsi="Roboto"/>
          <w:color w:val="212529"/>
          <w:shd w:val="clear" w:color="auto" w:fill="E6E6E6"/>
        </w:rPr>
      </w:pPr>
      <w:proofErr w:type="gramStart"/>
      <w:r>
        <w:rPr>
          <w:rFonts w:ascii="Roboto" w:hAnsi="Roboto"/>
          <w:color w:val="212529"/>
          <w:shd w:val="clear" w:color="auto" w:fill="E6E6E6"/>
        </w:rPr>
        <w:t>prefix:help</w:t>
      </w:r>
      <w:proofErr w:type="gramEnd"/>
      <w:r>
        <w:rPr>
          <w:rFonts w:ascii="Roboto" w:hAnsi="Roboto"/>
          <w:color w:val="212529"/>
          <w:shd w:val="clear" w:color="auto" w:fill="E6E6E6"/>
        </w:rPr>
        <w:t>_controller:prerequisite_action:index_subject:pageHelpOTTAW</w:t>
      </w:r>
    </w:p>
    <w:p w14:paraId="09D3FD8F" w14:textId="77777777" w:rsidR="007E7D61" w:rsidRPr="007E7D61" w:rsidRDefault="007E7D61" w:rsidP="007E7D61">
      <w:pPr>
        <w:rPr>
          <w:rFonts w:eastAsia="Times New Roman" w:cstheme="minorHAnsi"/>
          <w:b/>
          <w:bCs/>
          <w:lang w:eastAsia="en-CA"/>
        </w:rPr>
      </w:pPr>
      <w:r w:rsidRPr="007E7D61">
        <w:rPr>
          <w:rFonts w:eastAsia="Times New Roman" w:cstheme="minorHAnsi"/>
          <w:b/>
          <w:bCs/>
          <w:lang w:eastAsia="en-CA"/>
        </w:rPr>
        <w:t>Course Requirements</w:t>
      </w:r>
    </w:p>
    <w:p w14:paraId="24B2FF1D" w14:textId="77777777" w:rsidR="007E7D61" w:rsidRPr="007E7D61" w:rsidRDefault="007E7D61" w:rsidP="007E7D61">
      <w:pPr>
        <w:rPr>
          <w:rFonts w:eastAsia="Times New Roman" w:cstheme="minorHAnsi"/>
          <w:lang w:eastAsia="en-CA"/>
        </w:rPr>
      </w:pPr>
      <w:r w:rsidRPr="007E7D61">
        <w:rPr>
          <w:rFonts w:eastAsia="Times New Roman" w:cstheme="minorHAnsi"/>
          <w:lang w:eastAsia="en-CA"/>
        </w:rPr>
        <w:t>You may complete missing prerequisite courses during the academic year preceding admission to the MD Program. However, you must complete all courses by June 1 before entering medical school.</w:t>
      </w:r>
    </w:p>
    <w:p w14:paraId="01F1BCCD" w14:textId="77777777" w:rsidR="007E7D61" w:rsidRPr="007E7D61" w:rsidRDefault="007E7D61" w:rsidP="007E7D61">
      <w:pPr>
        <w:numPr>
          <w:ilvl w:val="0"/>
          <w:numId w:val="11"/>
        </w:numPr>
        <w:rPr>
          <w:rFonts w:eastAsia="Times New Roman" w:cstheme="minorHAnsi"/>
          <w:lang w:eastAsia="en-CA"/>
        </w:rPr>
      </w:pPr>
      <w:r w:rsidRPr="007E7D61">
        <w:rPr>
          <w:rFonts w:eastAsia="Times New Roman" w:cstheme="minorHAnsi"/>
          <w:lang w:eastAsia="en-CA"/>
        </w:rPr>
        <w:t>6 units in Humanities/Social Sciences</w:t>
      </w:r>
    </w:p>
    <w:p w14:paraId="31E4BFF8" w14:textId="77777777" w:rsidR="007E7D61" w:rsidRPr="007E7D61" w:rsidRDefault="007E7D61" w:rsidP="007E7D61">
      <w:pPr>
        <w:numPr>
          <w:ilvl w:val="1"/>
          <w:numId w:val="11"/>
        </w:numPr>
        <w:rPr>
          <w:rFonts w:eastAsia="Times New Roman" w:cstheme="minorHAnsi"/>
          <w:lang w:eastAsia="en-CA"/>
        </w:rPr>
      </w:pPr>
      <w:r w:rsidRPr="007E7D61">
        <w:rPr>
          <w:rFonts w:eastAsia="Times New Roman" w:cstheme="minorHAnsi"/>
          <w:lang w:eastAsia="en-CA"/>
        </w:rPr>
        <w:t>You may fulfill the Humanities/Social Sciences requirements with any courses that are not science based. These include, but are not limited to: Sociology, Psychology, Math, Religion, Administration, English Literature, English Writing, etc.</w:t>
      </w:r>
    </w:p>
    <w:p w14:paraId="2FA5491D" w14:textId="77777777" w:rsidR="007E7D61" w:rsidRPr="007E7D61" w:rsidRDefault="007E7D61" w:rsidP="007E7D61">
      <w:pPr>
        <w:numPr>
          <w:ilvl w:val="1"/>
          <w:numId w:val="11"/>
        </w:numPr>
        <w:rPr>
          <w:rFonts w:eastAsia="Times New Roman" w:cstheme="minorHAnsi"/>
          <w:lang w:eastAsia="en-CA"/>
        </w:rPr>
      </w:pPr>
      <w:r w:rsidRPr="007E7D61">
        <w:rPr>
          <w:rFonts w:eastAsia="Times New Roman" w:cstheme="minorHAnsi"/>
          <w:lang w:eastAsia="en-CA"/>
        </w:rPr>
        <w:t>We will not accept any second language courses toward the Humanities/Social Sciences requirements.</w:t>
      </w:r>
    </w:p>
    <w:p w14:paraId="72F2BAF8" w14:textId="77777777" w:rsidR="007E7D61" w:rsidRPr="007E7D61" w:rsidRDefault="007E7D61" w:rsidP="007E7D61">
      <w:pPr>
        <w:numPr>
          <w:ilvl w:val="0"/>
          <w:numId w:val="11"/>
        </w:numPr>
        <w:rPr>
          <w:rFonts w:eastAsia="Times New Roman" w:cstheme="minorHAnsi"/>
          <w:lang w:eastAsia="en-CA"/>
        </w:rPr>
      </w:pPr>
      <w:r w:rsidRPr="007E7D61">
        <w:rPr>
          <w:rFonts w:eastAsia="Times New Roman" w:cstheme="minorHAnsi"/>
          <w:lang w:eastAsia="en-CA"/>
        </w:rPr>
        <w:t>6 units in Biology (we also accept Anatomy and Physiology courses)</w:t>
      </w:r>
    </w:p>
    <w:p w14:paraId="64FBA956" w14:textId="77777777" w:rsidR="007E7D61" w:rsidRPr="007E7D61" w:rsidRDefault="007E7D61" w:rsidP="007E7D61">
      <w:pPr>
        <w:numPr>
          <w:ilvl w:val="0"/>
          <w:numId w:val="11"/>
        </w:numPr>
        <w:rPr>
          <w:rFonts w:eastAsia="Times New Roman" w:cstheme="minorHAnsi"/>
          <w:lang w:eastAsia="en-CA"/>
        </w:rPr>
      </w:pPr>
      <w:r w:rsidRPr="007E7D61">
        <w:rPr>
          <w:rFonts w:eastAsia="Times New Roman" w:cstheme="minorHAnsi"/>
          <w:lang w:eastAsia="en-CA"/>
        </w:rPr>
        <w:t>3 units in Organic Chemistry</w:t>
      </w:r>
    </w:p>
    <w:p w14:paraId="259C4227" w14:textId="77777777" w:rsidR="007E7D61" w:rsidRPr="007E7D61" w:rsidRDefault="007E7D61" w:rsidP="007E7D61">
      <w:pPr>
        <w:numPr>
          <w:ilvl w:val="1"/>
          <w:numId w:val="11"/>
        </w:numPr>
        <w:rPr>
          <w:rFonts w:eastAsia="Times New Roman" w:cstheme="minorHAnsi"/>
          <w:lang w:eastAsia="en-CA"/>
        </w:rPr>
      </w:pPr>
      <w:r w:rsidRPr="007E7D61">
        <w:rPr>
          <w:rFonts w:eastAsia="Times New Roman" w:cstheme="minorHAnsi"/>
          <w:lang w:eastAsia="en-CA"/>
        </w:rPr>
        <w:t xml:space="preserve">Examples of topics covered in the course may </w:t>
      </w:r>
      <w:proofErr w:type="gramStart"/>
      <w:r w:rsidRPr="007E7D61">
        <w:rPr>
          <w:rFonts w:eastAsia="Times New Roman" w:cstheme="minorHAnsi"/>
          <w:lang w:eastAsia="en-CA"/>
        </w:rPr>
        <w:t>include:</w:t>
      </w:r>
      <w:proofErr w:type="gramEnd"/>
      <w:r w:rsidRPr="007E7D61">
        <w:rPr>
          <w:rFonts w:eastAsia="Times New Roman" w:cstheme="minorHAnsi"/>
          <w:lang w:eastAsia="en-CA"/>
        </w:rPr>
        <w:t xml:space="preserve"> Classification, identification and structural characterization of organic compounds, the mechanisms of organic reactions, basic principles of organic stereochemistry, properties and preparation of hydrocarbons, halogen derivatives, alcohols, ethers and selected polymers.</w:t>
      </w:r>
    </w:p>
    <w:p w14:paraId="76A299F2" w14:textId="77777777" w:rsidR="007E7D61" w:rsidRPr="007E7D61" w:rsidRDefault="007E7D61" w:rsidP="007E7D61">
      <w:pPr>
        <w:numPr>
          <w:ilvl w:val="0"/>
          <w:numId w:val="11"/>
        </w:numPr>
        <w:rPr>
          <w:rFonts w:eastAsia="Times New Roman" w:cstheme="minorHAnsi"/>
          <w:lang w:eastAsia="en-CA"/>
        </w:rPr>
      </w:pPr>
      <w:r w:rsidRPr="007E7D61">
        <w:rPr>
          <w:rFonts w:eastAsia="Times New Roman" w:cstheme="minorHAnsi"/>
          <w:lang w:eastAsia="en-CA"/>
        </w:rPr>
        <w:t>3 units in General Chemistry</w:t>
      </w:r>
    </w:p>
    <w:p w14:paraId="56F8D991" w14:textId="77777777" w:rsidR="007E7D61" w:rsidRPr="007E7D61" w:rsidRDefault="007E7D61" w:rsidP="007E7D61">
      <w:pPr>
        <w:numPr>
          <w:ilvl w:val="1"/>
          <w:numId w:val="11"/>
        </w:numPr>
        <w:rPr>
          <w:rFonts w:eastAsia="Times New Roman" w:cstheme="minorHAnsi"/>
          <w:lang w:eastAsia="en-CA"/>
        </w:rPr>
      </w:pPr>
      <w:r w:rsidRPr="007E7D61">
        <w:rPr>
          <w:rFonts w:eastAsia="Times New Roman" w:cstheme="minorHAnsi"/>
          <w:lang w:eastAsia="en-CA"/>
        </w:rPr>
        <w:t xml:space="preserve">Examples of topics covered in the course may </w:t>
      </w:r>
      <w:proofErr w:type="gramStart"/>
      <w:r w:rsidRPr="007E7D61">
        <w:rPr>
          <w:rFonts w:eastAsia="Times New Roman" w:cstheme="minorHAnsi"/>
          <w:lang w:eastAsia="en-CA"/>
        </w:rPr>
        <w:t>include:</w:t>
      </w:r>
      <w:proofErr w:type="gramEnd"/>
      <w:r w:rsidRPr="007E7D61">
        <w:rPr>
          <w:rFonts w:eastAsia="Times New Roman" w:cstheme="minorHAnsi"/>
          <w:lang w:eastAsia="en-CA"/>
        </w:rPr>
        <w:t xml:space="preserve"> Chemical bonding, molecular geometry, chemical equations and quantitative relations, kinetics and equilibrium, redox reactions, electrochemistry, ionic equilibria, acids and bases in solution.</w:t>
      </w:r>
    </w:p>
    <w:p w14:paraId="23BF64DF" w14:textId="77777777" w:rsidR="007E7D61" w:rsidRPr="007E7D61" w:rsidRDefault="007E7D61" w:rsidP="007E7D61">
      <w:pPr>
        <w:numPr>
          <w:ilvl w:val="0"/>
          <w:numId w:val="11"/>
        </w:numPr>
        <w:rPr>
          <w:rFonts w:eastAsia="Times New Roman" w:cstheme="minorHAnsi"/>
          <w:lang w:eastAsia="en-CA"/>
        </w:rPr>
      </w:pPr>
      <w:r w:rsidRPr="007E7D61">
        <w:rPr>
          <w:rFonts w:eastAsia="Times New Roman" w:cstheme="minorHAnsi"/>
          <w:lang w:eastAsia="en-CA"/>
        </w:rPr>
        <w:t>3 units in Biochemistry</w:t>
      </w:r>
    </w:p>
    <w:p w14:paraId="008D86A6" w14:textId="77777777" w:rsidR="007E7D61" w:rsidRPr="007E7D61" w:rsidRDefault="007E7D61" w:rsidP="007E7D61">
      <w:pPr>
        <w:numPr>
          <w:ilvl w:val="1"/>
          <w:numId w:val="11"/>
        </w:numPr>
        <w:rPr>
          <w:rFonts w:eastAsia="Times New Roman" w:cstheme="minorHAnsi"/>
          <w:lang w:eastAsia="en-CA"/>
        </w:rPr>
      </w:pPr>
      <w:r w:rsidRPr="007E7D61">
        <w:rPr>
          <w:rFonts w:eastAsia="Times New Roman" w:cstheme="minorHAnsi"/>
          <w:lang w:eastAsia="en-CA"/>
        </w:rPr>
        <w:t>Examples of topics covered in the course may include: The chemistry and biological properties of amino acids, proteins, nucleic acids, lipids, carbohydrates and vitamins.</w:t>
      </w:r>
    </w:p>
    <w:p w14:paraId="5073344B" w14:textId="77777777" w:rsidR="007E7D61" w:rsidRPr="007E7D61" w:rsidRDefault="007E7D61" w:rsidP="007E7D61">
      <w:pPr>
        <w:numPr>
          <w:ilvl w:val="0"/>
          <w:numId w:val="11"/>
        </w:numPr>
        <w:rPr>
          <w:rFonts w:eastAsia="Times New Roman" w:cstheme="minorHAnsi"/>
          <w:lang w:eastAsia="en-CA"/>
        </w:rPr>
      </w:pPr>
      <w:r w:rsidRPr="007E7D61">
        <w:rPr>
          <w:rFonts w:eastAsia="Times New Roman" w:cstheme="minorHAnsi"/>
          <w:lang w:eastAsia="en-CA"/>
        </w:rPr>
        <w:t>3 units in Statistics</w:t>
      </w:r>
      <w:r w:rsidRPr="007E7D61">
        <w:rPr>
          <w:rFonts w:eastAsia="Times New Roman" w:cstheme="minorHAnsi"/>
          <w:lang w:eastAsia="en-CA"/>
        </w:rPr>
        <w:br/>
      </w:r>
    </w:p>
    <w:p w14:paraId="6EA9FE9B" w14:textId="77777777" w:rsidR="007E7D61" w:rsidRPr="007E7D61" w:rsidRDefault="007E7D61" w:rsidP="007E7D61">
      <w:pPr>
        <w:numPr>
          <w:ilvl w:val="1"/>
          <w:numId w:val="11"/>
        </w:numPr>
        <w:rPr>
          <w:rFonts w:eastAsia="Times New Roman" w:cstheme="minorHAnsi"/>
          <w:lang w:eastAsia="en-CA"/>
        </w:rPr>
      </w:pPr>
      <w:r w:rsidRPr="007E7D61">
        <w:rPr>
          <w:rFonts w:eastAsia="Times New Roman" w:cstheme="minorHAnsi"/>
          <w:lang w:eastAsia="en-CA"/>
        </w:rPr>
        <w:t>Examples of topics covered in the course may include: A concise survey of probability, theory of statistical inference, point and interval estimation, tests of hypotheses, introduction to analysis of continuous variables, sampling distribution, quantitative analysis, regression analysis, use of statistical software.</w:t>
      </w:r>
    </w:p>
    <w:p w14:paraId="0A99720E" w14:textId="77777777" w:rsidR="007E7D61" w:rsidRPr="007E7D61" w:rsidRDefault="007E7D61" w:rsidP="007E7D61">
      <w:pPr>
        <w:rPr>
          <w:rFonts w:eastAsia="Times New Roman" w:cstheme="minorHAnsi"/>
          <w:b/>
          <w:bCs/>
          <w:lang w:eastAsia="en-CA"/>
        </w:rPr>
      </w:pPr>
      <w:r w:rsidRPr="007E7D61">
        <w:rPr>
          <w:rFonts w:eastAsia="Times New Roman" w:cstheme="minorHAnsi"/>
          <w:b/>
          <w:bCs/>
          <w:lang w:eastAsia="en-CA"/>
        </w:rPr>
        <w:t>Notes:</w:t>
      </w:r>
    </w:p>
    <w:p w14:paraId="3BB92C5F" w14:textId="77777777" w:rsidR="007E7D61" w:rsidRPr="007E7D61" w:rsidRDefault="007E7D61" w:rsidP="007E7D61">
      <w:pPr>
        <w:numPr>
          <w:ilvl w:val="0"/>
          <w:numId w:val="12"/>
        </w:numPr>
        <w:rPr>
          <w:rFonts w:eastAsia="Times New Roman" w:cstheme="minorHAnsi"/>
          <w:lang w:eastAsia="en-CA"/>
        </w:rPr>
      </w:pPr>
      <w:r w:rsidRPr="007E7D61">
        <w:rPr>
          <w:rFonts w:eastAsia="Times New Roman" w:cstheme="minorHAnsi"/>
          <w:lang w:eastAsia="en-CA"/>
        </w:rPr>
        <w:t>Units are equivalent to credits</w:t>
      </w:r>
    </w:p>
    <w:p w14:paraId="49E81593" w14:textId="77777777" w:rsidR="007E7D61" w:rsidRPr="007E7D61" w:rsidRDefault="007E7D61" w:rsidP="007E7D61">
      <w:pPr>
        <w:numPr>
          <w:ilvl w:val="0"/>
          <w:numId w:val="12"/>
        </w:numPr>
        <w:rPr>
          <w:rFonts w:eastAsia="Times New Roman" w:cstheme="minorHAnsi"/>
          <w:lang w:eastAsia="en-CA"/>
        </w:rPr>
      </w:pPr>
      <w:r w:rsidRPr="007E7D61">
        <w:rPr>
          <w:rFonts w:eastAsia="Times New Roman" w:cstheme="minorHAnsi"/>
          <w:lang w:eastAsia="en-CA"/>
        </w:rPr>
        <w:t>3 units are equivalent to a 1-semester course, and 6 units are equivalent to either 1 full-year course or 2 semester-long courses.</w:t>
      </w:r>
    </w:p>
    <w:p w14:paraId="679072CE" w14:textId="77777777" w:rsidR="007E7D61" w:rsidRPr="007E7D61" w:rsidRDefault="007E7D61" w:rsidP="007E7D61">
      <w:pPr>
        <w:numPr>
          <w:ilvl w:val="0"/>
          <w:numId w:val="12"/>
        </w:numPr>
        <w:rPr>
          <w:rFonts w:eastAsia="Times New Roman" w:cstheme="minorHAnsi"/>
          <w:lang w:eastAsia="en-CA"/>
        </w:rPr>
      </w:pPr>
      <w:r w:rsidRPr="007E7D61">
        <w:rPr>
          <w:rFonts w:eastAsia="Times New Roman" w:cstheme="minorHAnsi"/>
          <w:lang w:eastAsia="en-CA"/>
        </w:rPr>
        <w:lastRenderedPageBreak/>
        <w:t>If you are completing a prerequisite course during the year preceding admission to the MD Program, you must enter "IP" instead of a grade in the prerequisite section of your OMSAS application.</w:t>
      </w:r>
    </w:p>
    <w:p w14:paraId="2B9130D7" w14:textId="77777777" w:rsidR="007E7D61" w:rsidRPr="007E7D61" w:rsidRDefault="007E7D61" w:rsidP="007E7D61">
      <w:pPr>
        <w:rPr>
          <w:rFonts w:eastAsia="Times New Roman" w:cstheme="minorHAnsi"/>
          <w:b/>
          <w:bCs/>
          <w:lang w:eastAsia="en-CA"/>
        </w:rPr>
      </w:pPr>
      <w:r w:rsidRPr="007E7D61">
        <w:rPr>
          <w:rFonts w:eastAsia="Times New Roman" w:cstheme="minorHAnsi"/>
          <w:b/>
          <w:bCs/>
          <w:lang w:eastAsia="en-CA"/>
        </w:rPr>
        <w:t>Laboratory Requirement</w:t>
      </w:r>
    </w:p>
    <w:p w14:paraId="7C0B6013" w14:textId="77777777" w:rsidR="007E7D61" w:rsidRDefault="007E7D61" w:rsidP="007E7D61">
      <w:pPr>
        <w:numPr>
          <w:ilvl w:val="0"/>
          <w:numId w:val="13"/>
        </w:numPr>
        <w:rPr>
          <w:rFonts w:eastAsia="Times New Roman" w:cstheme="minorHAnsi"/>
          <w:lang w:eastAsia="en-CA"/>
        </w:rPr>
      </w:pPr>
      <w:r w:rsidRPr="007E7D61">
        <w:rPr>
          <w:rFonts w:eastAsia="Times New Roman" w:cstheme="minorHAnsi"/>
          <w:lang w:eastAsia="en-CA"/>
        </w:rPr>
        <w:t>You must demonstrate an exposure to laboratory work. You must have a laboratory component in 2 of the science courses from the categories listed or have completed an exclusive lab course that is the equivalent of 6 units.</w:t>
      </w:r>
    </w:p>
    <w:p w14:paraId="6156F56C" w14:textId="60120A12" w:rsidR="007E7D61" w:rsidRDefault="007E7D61">
      <w:pPr>
        <w:rPr>
          <w:rFonts w:eastAsia="Times New Roman" w:cstheme="minorHAnsi"/>
          <w:lang w:eastAsia="en-CA"/>
        </w:rPr>
      </w:pPr>
      <w:r>
        <w:rPr>
          <w:rFonts w:eastAsia="Times New Roman" w:cstheme="minorHAnsi"/>
          <w:lang w:eastAsia="en-CA"/>
        </w:rPr>
        <w:br w:type="page"/>
      </w:r>
    </w:p>
    <w:p w14:paraId="19362FED" w14:textId="742F7746" w:rsidR="00FC1329" w:rsidRDefault="00FC1329" w:rsidP="00FC1329">
      <w:pPr>
        <w:rPr>
          <w:rFonts w:ascii="Roboto" w:hAnsi="Roboto"/>
          <w:color w:val="212529"/>
          <w:shd w:val="clear" w:color="auto" w:fill="E6E6E6"/>
        </w:rPr>
      </w:pPr>
      <w:proofErr w:type="gramStart"/>
      <w:r>
        <w:rPr>
          <w:rFonts w:ascii="Roboto" w:hAnsi="Roboto"/>
          <w:color w:val="212529"/>
          <w:shd w:val="clear" w:color="auto" w:fill="E6E6E6"/>
        </w:rPr>
        <w:lastRenderedPageBreak/>
        <w:t>prefix:help</w:t>
      </w:r>
      <w:proofErr w:type="gramEnd"/>
      <w:r>
        <w:rPr>
          <w:rFonts w:ascii="Roboto" w:hAnsi="Roboto"/>
          <w:color w:val="212529"/>
          <w:shd w:val="clear" w:color="auto" w:fill="E6E6E6"/>
        </w:rPr>
        <w:t>_controller:submissions_action:question_subject:pageHelpOTTAW</w:t>
      </w:r>
    </w:p>
    <w:p w14:paraId="4B0C2773" w14:textId="77777777" w:rsidR="007E7D61" w:rsidRPr="007E7D61" w:rsidRDefault="007E7D61" w:rsidP="007E7D61">
      <w:pPr>
        <w:rPr>
          <w:rFonts w:eastAsia="Times New Roman" w:cstheme="minorHAnsi"/>
          <w:b/>
          <w:bCs/>
          <w:lang w:eastAsia="en-CA"/>
        </w:rPr>
      </w:pPr>
      <w:r w:rsidRPr="007E7D61">
        <w:rPr>
          <w:rFonts w:eastAsia="Times New Roman" w:cstheme="minorHAnsi"/>
          <w:b/>
          <w:bCs/>
          <w:lang w:eastAsia="en-CA"/>
        </w:rPr>
        <w:t>MD/PhD</w:t>
      </w:r>
    </w:p>
    <w:p w14:paraId="2C5244D0" w14:textId="77777777" w:rsidR="007E7D61" w:rsidRPr="007E7D61" w:rsidRDefault="007E7D61" w:rsidP="007E7D61">
      <w:pPr>
        <w:rPr>
          <w:rFonts w:eastAsia="Times New Roman" w:cstheme="minorHAnsi"/>
          <w:lang w:eastAsia="en-CA"/>
        </w:rPr>
      </w:pPr>
      <w:r w:rsidRPr="007E7D61">
        <w:rPr>
          <w:rFonts w:eastAsia="Times New Roman" w:cstheme="minorHAnsi"/>
          <w:lang w:eastAsia="en-CA"/>
        </w:rPr>
        <w:t>If you are applying to the combined MD/PhD Program at the University of Ottawa, you must provide the following additional documents, required by the Graduate Office:</w:t>
      </w:r>
    </w:p>
    <w:p w14:paraId="6B26B7D3" w14:textId="77777777" w:rsidR="007E7D61" w:rsidRPr="007E7D61" w:rsidRDefault="007E7D61" w:rsidP="007E7D61">
      <w:pPr>
        <w:numPr>
          <w:ilvl w:val="0"/>
          <w:numId w:val="10"/>
        </w:numPr>
        <w:rPr>
          <w:rFonts w:eastAsia="Times New Roman" w:cstheme="minorHAnsi"/>
          <w:lang w:eastAsia="en-CA"/>
        </w:rPr>
      </w:pPr>
      <w:r w:rsidRPr="007E7D61">
        <w:rPr>
          <w:rFonts w:eastAsia="Times New Roman" w:cstheme="minorHAnsi"/>
          <w:lang w:eastAsia="en-CA"/>
        </w:rPr>
        <w:t>Letter of interest that focuses on the reasons for pursuing the combined MD/PhD Program and that states the research area of interest.</w:t>
      </w:r>
    </w:p>
    <w:p w14:paraId="476718CE" w14:textId="77777777" w:rsidR="007E7D61" w:rsidRPr="007E7D61" w:rsidRDefault="007E7D61" w:rsidP="007E7D61">
      <w:pPr>
        <w:numPr>
          <w:ilvl w:val="0"/>
          <w:numId w:val="10"/>
        </w:numPr>
        <w:rPr>
          <w:rFonts w:eastAsia="Times New Roman" w:cstheme="minorHAnsi"/>
          <w:lang w:eastAsia="en-CA"/>
        </w:rPr>
      </w:pPr>
      <w:r w:rsidRPr="007E7D61">
        <w:rPr>
          <w:rFonts w:eastAsia="Times New Roman" w:cstheme="minorHAnsi"/>
          <w:lang w:eastAsia="en-CA"/>
        </w:rPr>
        <w:t>2 confidential assessment forms specific for the MD/PhD program that attest to graduate research potential (in addition to the 3 Confidential Assessment Forms requested by the MD Program).</w:t>
      </w:r>
    </w:p>
    <w:p w14:paraId="592F7A1D" w14:textId="77777777" w:rsidR="007E7D61" w:rsidRPr="007E7D61" w:rsidRDefault="007E7D61" w:rsidP="007E7D61">
      <w:pPr>
        <w:numPr>
          <w:ilvl w:val="1"/>
          <w:numId w:val="10"/>
        </w:numPr>
        <w:rPr>
          <w:rFonts w:eastAsia="Times New Roman" w:cstheme="minorHAnsi"/>
          <w:lang w:eastAsia="en-CA"/>
        </w:rPr>
      </w:pPr>
      <w:r w:rsidRPr="007E7D61">
        <w:rPr>
          <w:rFonts w:eastAsia="Times New Roman" w:cstheme="minorHAnsi"/>
          <w:lang w:eastAsia="en-CA"/>
        </w:rPr>
        <w:t>The 2 letters of recommendation for the MD/PhD Program may be from the same referees.</w:t>
      </w:r>
    </w:p>
    <w:p w14:paraId="0D6C9E3A" w14:textId="77777777" w:rsidR="007E7D61" w:rsidRPr="007E7D61" w:rsidRDefault="007E7D61" w:rsidP="007E7D61">
      <w:pPr>
        <w:numPr>
          <w:ilvl w:val="1"/>
          <w:numId w:val="10"/>
        </w:numPr>
        <w:rPr>
          <w:rFonts w:eastAsia="Times New Roman" w:cstheme="minorHAnsi"/>
          <w:lang w:eastAsia="en-CA"/>
        </w:rPr>
      </w:pPr>
      <w:r w:rsidRPr="007E7D61">
        <w:rPr>
          <w:rFonts w:eastAsia="Times New Roman" w:cstheme="minorHAnsi"/>
          <w:lang w:eastAsia="en-CA"/>
        </w:rPr>
        <w:t>The letters must be from previous science teachers or supervisors, and we recommend they discuss your research abilities and/or lab experiences.</w:t>
      </w:r>
    </w:p>
    <w:p w14:paraId="0989BAE0" w14:textId="43B16413" w:rsidR="00FC1329" w:rsidRPr="007E7D61" w:rsidRDefault="007E7D61" w:rsidP="007E7D61">
      <w:pPr>
        <w:numPr>
          <w:ilvl w:val="0"/>
          <w:numId w:val="10"/>
        </w:numPr>
        <w:rPr>
          <w:rFonts w:eastAsia="Times New Roman" w:cstheme="minorHAnsi"/>
          <w:lang w:eastAsia="en-CA"/>
        </w:rPr>
      </w:pPr>
      <w:r w:rsidRPr="007E7D61">
        <w:rPr>
          <w:rFonts w:eastAsia="Times New Roman" w:cstheme="minorHAnsi"/>
          <w:lang w:eastAsia="en-CA"/>
        </w:rPr>
        <w:t>Curriculum Vitae (CV)</w:t>
      </w:r>
    </w:p>
    <w:sectPr w:rsidR="00FC1329" w:rsidRPr="007E7D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24A9"/>
    <w:multiLevelType w:val="multilevel"/>
    <w:tmpl w:val="242A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B60DA"/>
    <w:multiLevelType w:val="multilevel"/>
    <w:tmpl w:val="C6CC3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B7C37"/>
    <w:multiLevelType w:val="multilevel"/>
    <w:tmpl w:val="1D3C0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C61B8"/>
    <w:multiLevelType w:val="multilevel"/>
    <w:tmpl w:val="1B68B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3532C"/>
    <w:multiLevelType w:val="multilevel"/>
    <w:tmpl w:val="1B0AB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D2961"/>
    <w:multiLevelType w:val="multilevel"/>
    <w:tmpl w:val="4FDE7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8E17AE"/>
    <w:multiLevelType w:val="multilevel"/>
    <w:tmpl w:val="3DAE9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2A7590"/>
    <w:multiLevelType w:val="multilevel"/>
    <w:tmpl w:val="E11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24169"/>
    <w:multiLevelType w:val="multilevel"/>
    <w:tmpl w:val="3EFA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7011E"/>
    <w:multiLevelType w:val="multilevel"/>
    <w:tmpl w:val="047E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D1D83"/>
    <w:multiLevelType w:val="multilevel"/>
    <w:tmpl w:val="BDC0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92F67"/>
    <w:multiLevelType w:val="multilevel"/>
    <w:tmpl w:val="A268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76C93"/>
    <w:multiLevelType w:val="multilevel"/>
    <w:tmpl w:val="3842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5951911">
    <w:abstractNumId w:val="4"/>
  </w:num>
  <w:num w:numId="2" w16cid:durableId="390928790">
    <w:abstractNumId w:val="8"/>
  </w:num>
  <w:num w:numId="3" w16cid:durableId="482506385">
    <w:abstractNumId w:val="3"/>
  </w:num>
  <w:num w:numId="4" w16cid:durableId="1652901920">
    <w:abstractNumId w:val="7"/>
  </w:num>
  <w:num w:numId="5" w16cid:durableId="222377499">
    <w:abstractNumId w:val="1"/>
  </w:num>
  <w:num w:numId="6" w16cid:durableId="1275333774">
    <w:abstractNumId w:val="11"/>
  </w:num>
  <w:num w:numId="7" w16cid:durableId="2070112778">
    <w:abstractNumId w:val="9"/>
  </w:num>
  <w:num w:numId="8" w16cid:durableId="2102021684">
    <w:abstractNumId w:val="2"/>
  </w:num>
  <w:num w:numId="9" w16cid:durableId="565183552">
    <w:abstractNumId w:val="10"/>
  </w:num>
  <w:num w:numId="10" w16cid:durableId="1133907272">
    <w:abstractNumId w:val="6"/>
  </w:num>
  <w:num w:numId="11" w16cid:durableId="280385293">
    <w:abstractNumId w:val="5"/>
  </w:num>
  <w:num w:numId="12" w16cid:durableId="802818008">
    <w:abstractNumId w:val="12"/>
  </w:num>
  <w:num w:numId="13" w16cid:durableId="213517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1F"/>
    <w:rsid w:val="00127DFD"/>
    <w:rsid w:val="003C13F8"/>
    <w:rsid w:val="004E639A"/>
    <w:rsid w:val="00581B88"/>
    <w:rsid w:val="007E7D61"/>
    <w:rsid w:val="008C5174"/>
    <w:rsid w:val="00A57485"/>
    <w:rsid w:val="00A9081F"/>
    <w:rsid w:val="00F57424"/>
    <w:rsid w:val="00FC1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1151"/>
  <w15:chartTrackingRefBased/>
  <w15:docId w15:val="{36BE4079-2E21-47B9-A87A-975C4FC1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7DF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329"/>
    <w:rPr>
      <w:color w:val="0563C1" w:themeColor="hyperlink"/>
      <w:u w:val="single"/>
    </w:rPr>
  </w:style>
  <w:style w:type="character" w:styleId="UnresolvedMention">
    <w:name w:val="Unresolved Mention"/>
    <w:basedOn w:val="DefaultParagraphFont"/>
    <w:uiPriority w:val="99"/>
    <w:semiHidden/>
    <w:unhideWhenUsed/>
    <w:rsid w:val="00FC1329"/>
    <w:rPr>
      <w:color w:val="605E5C"/>
      <w:shd w:val="clear" w:color="auto" w:fill="E1DFDD"/>
    </w:rPr>
  </w:style>
  <w:style w:type="paragraph" w:styleId="Revision">
    <w:name w:val="Revision"/>
    <w:hidden/>
    <w:uiPriority w:val="99"/>
    <w:semiHidden/>
    <w:rsid w:val="00581B88"/>
    <w:pPr>
      <w:spacing w:after="0" w:line="240" w:lineRule="auto"/>
    </w:pPr>
  </w:style>
  <w:style w:type="character" w:customStyle="1" w:styleId="Heading2Char">
    <w:name w:val="Heading 2 Char"/>
    <w:basedOn w:val="DefaultParagraphFont"/>
    <w:link w:val="Heading2"/>
    <w:uiPriority w:val="9"/>
    <w:rsid w:val="00127DFD"/>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127DFD"/>
    <w:rPr>
      <w:b/>
      <w:bCs/>
    </w:rPr>
  </w:style>
  <w:style w:type="paragraph" w:styleId="NormalWeb">
    <w:name w:val="Normal (Web)"/>
    <w:basedOn w:val="Normal"/>
    <w:uiPriority w:val="99"/>
    <w:semiHidden/>
    <w:unhideWhenUsed/>
    <w:rsid w:val="00127DF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1438">
      <w:bodyDiv w:val="1"/>
      <w:marLeft w:val="0"/>
      <w:marRight w:val="0"/>
      <w:marTop w:val="0"/>
      <w:marBottom w:val="0"/>
      <w:divBdr>
        <w:top w:val="none" w:sz="0" w:space="0" w:color="auto"/>
        <w:left w:val="none" w:sz="0" w:space="0" w:color="auto"/>
        <w:bottom w:val="none" w:sz="0" w:space="0" w:color="auto"/>
        <w:right w:val="none" w:sz="0" w:space="0" w:color="auto"/>
      </w:divBdr>
    </w:div>
    <w:div w:id="463936738">
      <w:bodyDiv w:val="1"/>
      <w:marLeft w:val="0"/>
      <w:marRight w:val="0"/>
      <w:marTop w:val="0"/>
      <w:marBottom w:val="0"/>
      <w:divBdr>
        <w:top w:val="none" w:sz="0" w:space="0" w:color="auto"/>
        <w:left w:val="none" w:sz="0" w:space="0" w:color="auto"/>
        <w:bottom w:val="none" w:sz="0" w:space="0" w:color="auto"/>
        <w:right w:val="none" w:sz="0" w:space="0" w:color="auto"/>
      </w:divBdr>
    </w:div>
    <w:div w:id="804935143">
      <w:bodyDiv w:val="1"/>
      <w:marLeft w:val="0"/>
      <w:marRight w:val="0"/>
      <w:marTop w:val="0"/>
      <w:marBottom w:val="0"/>
      <w:divBdr>
        <w:top w:val="none" w:sz="0" w:space="0" w:color="auto"/>
        <w:left w:val="none" w:sz="0" w:space="0" w:color="auto"/>
        <w:bottom w:val="none" w:sz="0" w:space="0" w:color="auto"/>
        <w:right w:val="none" w:sz="0" w:space="0" w:color="auto"/>
      </w:divBdr>
    </w:div>
    <w:div w:id="851337096">
      <w:bodyDiv w:val="1"/>
      <w:marLeft w:val="0"/>
      <w:marRight w:val="0"/>
      <w:marTop w:val="0"/>
      <w:marBottom w:val="0"/>
      <w:divBdr>
        <w:top w:val="none" w:sz="0" w:space="0" w:color="auto"/>
        <w:left w:val="none" w:sz="0" w:space="0" w:color="auto"/>
        <w:bottom w:val="none" w:sz="0" w:space="0" w:color="auto"/>
        <w:right w:val="none" w:sz="0" w:space="0" w:color="auto"/>
      </w:divBdr>
    </w:div>
    <w:div w:id="1006251387">
      <w:bodyDiv w:val="1"/>
      <w:marLeft w:val="0"/>
      <w:marRight w:val="0"/>
      <w:marTop w:val="0"/>
      <w:marBottom w:val="0"/>
      <w:divBdr>
        <w:top w:val="none" w:sz="0" w:space="0" w:color="auto"/>
        <w:left w:val="none" w:sz="0" w:space="0" w:color="auto"/>
        <w:bottom w:val="none" w:sz="0" w:space="0" w:color="auto"/>
        <w:right w:val="none" w:sz="0" w:space="0" w:color="auto"/>
      </w:divBdr>
    </w:div>
    <w:div w:id="1162966962">
      <w:bodyDiv w:val="1"/>
      <w:marLeft w:val="0"/>
      <w:marRight w:val="0"/>
      <w:marTop w:val="0"/>
      <w:marBottom w:val="0"/>
      <w:divBdr>
        <w:top w:val="none" w:sz="0" w:space="0" w:color="auto"/>
        <w:left w:val="none" w:sz="0" w:space="0" w:color="auto"/>
        <w:bottom w:val="none" w:sz="0" w:space="0" w:color="auto"/>
        <w:right w:val="none" w:sz="0" w:space="0" w:color="auto"/>
      </w:divBdr>
      <w:divsChild>
        <w:div w:id="516650990">
          <w:marLeft w:val="0"/>
          <w:marRight w:val="0"/>
          <w:marTop w:val="0"/>
          <w:marBottom w:val="0"/>
          <w:divBdr>
            <w:top w:val="none" w:sz="0" w:space="0" w:color="auto"/>
            <w:left w:val="none" w:sz="0" w:space="0" w:color="auto"/>
            <w:bottom w:val="none" w:sz="0" w:space="0" w:color="auto"/>
            <w:right w:val="none" w:sz="0" w:space="0" w:color="auto"/>
          </w:divBdr>
        </w:div>
      </w:divsChild>
    </w:div>
    <w:div w:id="1543785216">
      <w:bodyDiv w:val="1"/>
      <w:marLeft w:val="0"/>
      <w:marRight w:val="0"/>
      <w:marTop w:val="0"/>
      <w:marBottom w:val="0"/>
      <w:divBdr>
        <w:top w:val="none" w:sz="0" w:space="0" w:color="auto"/>
        <w:left w:val="none" w:sz="0" w:space="0" w:color="auto"/>
        <w:bottom w:val="none" w:sz="0" w:space="0" w:color="auto"/>
        <w:right w:val="none" w:sz="0" w:space="0" w:color="auto"/>
      </w:divBdr>
    </w:div>
    <w:div w:id="1721132033">
      <w:bodyDiv w:val="1"/>
      <w:marLeft w:val="0"/>
      <w:marRight w:val="0"/>
      <w:marTop w:val="0"/>
      <w:marBottom w:val="0"/>
      <w:divBdr>
        <w:top w:val="none" w:sz="0" w:space="0" w:color="auto"/>
        <w:left w:val="none" w:sz="0" w:space="0" w:color="auto"/>
        <w:bottom w:val="none" w:sz="0" w:space="0" w:color="auto"/>
        <w:right w:val="none" w:sz="0" w:space="0" w:color="auto"/>
      </w:divBdr>
    </w:div>
    <w:div w:id="1806123132">
      <w:bodyDiv w:val="1"/>
      <w:marLeft w:val="0"/>
      <w:marRight w:val="0"/>
      <w:marTop w:val="0"/>
      <w:marBottom w:val="0"/>
      <w:divBdr>
        <w:top w:val="none" w:sz="0" w:space="0" w:color="auto"/>
        <w:left w:val="none" w:sz="0" w:space="0" w:color="auto"/>
        <w:bottom w:val="none" w:sz="0" w:space="0" w:color="auto"/>
        <w:right w:val="none" w:sz="0" w:space="0" w:color="auto"/>
      </w:divBdr>
      <w:divsChild>
        <w:div w:id="169954778">
          <w:marLeft w:val="0"/>
          <w:marRight w:val="0"/>
          <w:marTop w:val="0"/>
          <w:marBottom w:val="0"/>
          <w:divBdr>
            <w:top w:val="none" w:sz="0" w:space="0" w:color="auto"/>
            <w:left w:val="none" w:sz="0" w:space="0" w:color="auto"/>
            <w:bottom w:val="none" w:sz="0" w:space="0" w:color="auto"/>
            <w:right w:val="none" w:sz="0" w:space="0" w:color="auto"/>
          </w:divBdr>
        </w:div>
      </w:divsChild>
    </w:div>
    <w:div w:id="1910001014">
      <w:bodyDiv w:val="1"/>
      <w:marLeft w:val="0"/>
      <w:marRight w:val="0"/>
      <w:marTop w:val="0"/>
      <w:marBottom w:val="0"/>
      <w:divBdr>
        <w:top w:val="none" w:sz="0" w:space="0" w:color="auto"/>
        <w:left w:val="none" w:sz="0" w:space="0" w:color="auto"/>
        <w:bottom w:val="none" w:sz="0" w:space="0" w:color="auto"/>
        <w:right w:val="none" w:sz="0" w:space="0" w:color="auto"/>
      </w:divBdr>
    </w:div>
    <w:div w:id="1936132083">
      <w:bodyDiv w:val="1"/>
      <w:marLeft w:val="0"/>
      <w:marRight w:val="0"/>
      <w:marTop w:val="0"/>
      <w:marBottom w:val="0"/>
      <w:divBdr>
        <w:top w:val="none" w:sz="0" w:space="0" w:color="auto"/>
        <w:left w:val="none" w:sz="0" w:space="0" w:color="auto"/>
        <w:bottom w:val="none" w:sz="0" w:space="0" w:color="auto"/>
        <w:right w:val="none" w:sz="0" w:space="0" w:color="auto"/>
      </w:divBdr>
    </w:div>
    <w:div w:id="2093578287">
      <w:bodyDiv w:val="1"/>
      <w:marLeft w:val="0"/>
      <w:marRight w:val="0"/>
      <w:marTop w:val="0"/>
      <w:marBottom w:val="0"/>
      <w:divBdr>
        <w:top w:val="none" w:sz="0" w:space="0" w:color="auto"/>
        <w:left w:val="none" w:sz="0" w:space="0" w:color="auto"/>
        <w:bottom w:val="none" w:sz="0" w:space="0" w:color="auto"/>
        <w:right w:val="none" w:sz="0" w:space="0" w:color="auto"/>
      </w:divBdr>
      <w:divsChild>
        <w:div w:id="149718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A078-4765-4E6D-A411-EF1A0C4E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6</cp:revision>
  <dcterms:created xsi:type="dcterms:W3CDTF">2023-02-21T22:00:00Z</dcterms:created>
  <dcterms:modified xsi:type="dcterms:W3CDTF">2025-02-03T17:04:00Z</dcterms:modified>
</cp:coreProperties>
</file>